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73C77" w14:textId="34CF38AD" w:rsidR="002F231E" w:rsidRPr="00D35D9C" w:rsidRDefault="00A35A55" w:rsidP="00C57DD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SCHEMA DI </w:t>
      </w:r>
      <w:r w:rsidRPr="00A35A55">
        <w:rPr>
          <w:rFonts w:ascii="Times New Roman" w:hAnsi="Times New Roman" w:cs="Times New Roman"/>
          <w:b/>
          <w:sz w:val="24"/>
          <w:szCs w:val="24"/>
        </w:rPr>
        <w:t xml:space="preserve">DISEGNO DI LEGGE RECANTE </w:t>
      </w:r>
      <w:bookmarkStart w:id="0" w:name="_Hlk75891425"/>
      <w:r w:rsidR="00C57DD8">
        <w:rPr>
          <w:rFonts w:ascii="Times New Roman" w:hAnsi="Times New Roman" w:cs="Times New Roman"/>
          <w:b/>
          <w:sz w:val="24"/>
          <w:szCs w:val="24"/>
        </w:rPr>
        <w:t>DELEGA AL GOVERNO IN MATERIA DI CONTRATTI PUBBLICI</w:t>
      </w:r>
      <w:bookmarkEnd w:id="0"/>
    </w:p>
    <w:p w14:paraId="6BB785DB" w14:textId="77777777" w:rsidR="002F231E" w:rsidRPr="00D35D9C" w:rsidRDefault="002F231E" w:rsidP="002F231E">
      <w:pPr>
        <w:spacing w:after="0" w:line="240" w:lineRule="auto"/>
        <w:contextualSpacing/>
        <w:rPr>
          <w:rFonts w:ascii="Times New Roman" w:hAnsi="Times New Roman" w:cs="Times New Roman"/>
          <w:b/>
          <w:color w:val="000000" w:themeColor="text1"/>
          <w:sz w:val="24"/>
          <w:szCs w:val="24"/>
        </w:rPr>
      </w:pPr>
    </w:p>
    <w:p w14:paraId="064796F4" w14:textId="77777777" w:rsidR="00C57DD8" w:rsidRDefault="002F231E" w:rsidP="00C57DD8">
      <w:pPr>
        <w:spacing w:after="0" w:line="240" w:lineRule="auto"/>
        <w:contextualSpacing/>
        <w:jc w:val="center"/>
        <w:rPr>
          <w:rFonts w:ascii="Times New Roman" w:hAnsi="Times New Roman" w:cs="Times New Roman"/>
          <w:b/>
          <w:color w:val="000000" w:themeColor="text1"/>
          <w:sz w:val="24"/>
          <w:szCs w:val="24"/>
        </w:rPr>
      </w:pPr>
      <w:r w:rsidRPr="00D35D9C">
        <w:rPr>
          <w:rFonts w:ascii="Times New Roman" w:hAnsi="Times New Roman" w:cs="Times New Roman"/>
          <w:b/>
          <w:color w:val="000000" w:themeColor="text1"/>
          <w:sz w:val="24"/>
          <w:szCs w:val="24"/>
        </w:rPr>
        <w:t>A</w:t>
      </w:r>
      <w:r w:rsidR="00C57DD8">
        <w:rPr>
          <w:rFonts w:ascii="Times New Roman" w:hAnsi="Times New Roman" w:cs="Times New Roman"/>
          <w:b/>
          <w:color w:val="000000" w:themeColor="text1"/>
          <w:sz w:val="24"/>
          <w:szCs w:val="24"/>
        </w:rPr>
        <w:t>RT</w:t>
      </w:r>
      <w:r w:rsidRPr="00D35D9C">
        <w:rPr>
          <w:rFonts w:ascii="Times New Roman" w:hAnsi="Times New Roman" w:cs="Times New Roman"/>
          <w:b/>
          <w:color w:val="000000" w:themeColor="text1"/>
          <w:sz w:val="24"/>
          <w:szCs w:val="24"/>
        </w:rPr>
        <w:t>. 1</w:t>
      </w:r>
    </w:p>
    <w:p w14:paraId="42DE64A3" w14:textId="5FD06C90" w:rsidR="00C57DD8" w:rsidRDefault="00C57DD8" w:rsidP="00C57DD8">
      <w:pPr>
        <w:spacing w:after="0" w:line="24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w:t>
      </w:r>
      <w:r w:rsidR="00A35A55">
        <w:rPr>
          <w:rFonts w:ascii="Times New Roman" w:hAnsi="Times New Roman" w:cs="Times New Roman"/>
          <w:b/>
          <w:color w:val="000000" w:themeColor="text1"/>
          <w:sz w:val="24"/>
          <w:szCs w:val="24"/>
        </w:rPr>
        <w:t>D</w:t>
      </w:r>
      <w:r w:rsidR="00A35A55" w:rsidRPr="00A35A55">
        <w:rPr>
          <w:rFonts w:ascii="Times New Roman" w:hAnsi="Times New Roman" w:cs="Times New Roman"/>
          <w:b/>
          <w:color w:val="000000" w:themeColor="text1"/>
          <w:sz w:val="24"/>
          <w:szCs w:val="24"/>
        </w:rPr>
        <w:t xml:space="preserve">elega al </w:t>
      </w:r>
      <w:r w:rsidR="00AD73DC">
        <w:rPr>
          <w:rFonts w:ascii="Times New Roman" w:hAnsi="Times New Roman" w:cs="Times New Roman"/>
          <w:b/>
          <w:color w:val="000000" w:themeColor="text1"/>
          <w:sz w:val="24"/>
          <w:szCs w:val="24"/>
        </w:rPr>
        <w:t>G</w:t>
      </w:r>
      <w:r w:rsidR="00A35A55" w:rsidRPr="00A35A55">
        <w:rPr>
          <w:rFonts w:ascii="Times New Roman" w:hAnsi="Times New Roman" w:cs="Times New Roman"/>
          <w:b/>
          <w:color w:val="000000" w:themeColor="text1"/>
          <w:sz w:val="24"/>
          <w:szCs w:val="24"/>
        </w:rPr>
        <w:t>overno in materia di contratti pubblici</w:t>
      </w:r>
      <w:r>
        <w:rPr>
          <w:rFonts w:ascii="Times New Roman" w:hAnsi="Times New Roman" w:cs="Times New Roman"/>
          <w:b/>
          <w:color w:val="000000" w:themeColor="text1"/>
          <w:sz w:val="24"/>
          <w:szCs w:val="24"/>
        </w:rPr>
        <w:t>)</w:t>
      </w:r>
    </w:p>
    <w:p w14:paraId="7A972096" w14:textId="652E78D5" w:rsidR="002F231E" w:rsidRPr="00D35D9C"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b/>
          <w:color w:val="000000" w:themeColor="text1"/>
          <w:sz w:val="24"/>
          <w:szCs w:val="24"/>
        </w:rPr>
        <w:t xml:space="preserve"> </w:t>
      </w:r>
    </w:p>
    <w:p w14:paraId="12CA086A" w14:textId="36509EA2" w:rsidR="002F231E" w:rsidRPr="009C7325"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color w:val="000000" w:themeColor="text1"/>
          <w:sz w:val="24"/>
          <w:szCs w:val="24"/>
        </w:rPr>
        <w:t xml:space="preserve">1. Il Governo è delegato ad adottare, entro sei mesi dalla data di entrata in vigore della presente legge, uno o più decreti legislativi recanti la disciplina dei contratti pubblici, anche al fine di </w:t>
      </w:r>
      <w:r w:rsidR="003F35A7" w:rsidRPr="00B64BB6">
        <w:rPr>
          <w:rFonts w:ascii="Times New Roman" w:hAnsi="Times New Roman" w:cs="Times New Roman"/>
          <w:color w:val="000000" w:themeColor="text1"/>
          <w:sz w:val="24"/>
          <w:szCs w:val="24"/>
        </w:rPr>
        <w:t>adeguarla</w:t>
      </w:r>
      <w:r w:rsidR="003F35A7">
        <w:rPr>
          <w:rFonts w:ascii="Times New Roman" w:hAnsi="Times New Roman" w:cs="Times New Roman"/>
          <w:b/>
          <w:color w:val="000000" w:themeColor="text1"/>
          <w:sz w:val="24"/>
          <w:szCs w:val="24"/>
        </w:rPr>
        <w:t xml:space="preserve"> </w:t>
      </w:r>
      <w:r w:rsidRPr="00D35D9C">
        <w:rPr>
          <w:rFonts w:ascii="Times New Roman" w:hAnsi="Times New Roman" w:cs="Times New Roman"/>
          <w:color w:val="000000" w:themeColor="text1"/>
          <w:sz w:val="24"/>
          <w:szCs w:val="24"/>
        </w:rPr>
        <w:t>al diritto europeo</w:t>
      </w:r>
      <w:r w:rsidR="003C6ECB">
        <w:rPr>
          <w:rFonts w:ascii="Times New Roman" w:hAnsi="Times New Roman" w:cs="Times New Roman"/>
          <w:color w:val="000000" w:themeColor="text1"/>
          <w:sz w:val="24"/>
          <w:szCs w:val="24"/>
        </w:rPr>
        <w:t xml:space="preserve"> </w:t>
      </w:r>
      <w:r w:rsidR="002B2208">
        <w:rPr>
          <w:rFonts w:ascii="Times New Roman" w:hAnsi="Times New Roman" w:cs="Times New Roman"/>
          <w:color w:val="000000" w:themeColor="text1"/>
          <w:sz w:val="24"/>
          <w:szCs w:val="24"/>
        </w:rPr>
        <w:t xml:space="preserve">e ai principi espressi dalla giurisprudenza </w:t>
      </w:r>
      <w:r w:rsidR="00C17E36">
        <w:rPr>
          <w:rFonts w:ascii="Times New Roman" w:hAnsi="Times New Roman" w:cs="Times New Roman"/>
          <w:color w:val="000000" w:themeColor="text1"/>
          <w:sz w:val="24"/>
          <w:szCs w:val="24"/>
        </w:rPr>
        <w:t>della Corte costituzionale e delle giurisdizioni superiori, interne e sovranazionali</w:t>
      </w:r>
      <w:r w:rsidR="005F7DE8">
        <w:rPr>
          <w:rFonts w:ascii="Times New Roman" w:hAnsi="Times New Roman" w:cs="Times New Roman"/>
          <w:color w:val="000000" w:themeColor="text1"/>
          <w:sz w:val="24"/>
          <w:szCs w:val="24"/>
        </w:rPr>
        <w:t>,</w:t>
      </w:r>
      <w:r w:rsidR="00C17E36">
        <w:rPr>
          <w:rFonts w:ascii="Times New Roman" w:hAnsi="Times New Roman" w:cs="Times New Roman"/>
          <w:color w:val="000000" w:themeColor="text1"/>
          <w:sz w:val="24"/>
          <w:szCs w:val="24"/>
        </w:rPr>
        <w:t xml:space="preserve"> </w:t>
      </w:r>
      <w:r w:rsidRPr="00D35D9C">
        <w:rPr>
          <w:rFonts w:ascii="Times New Roman" w:hAnsi="Times New Roman" w:cs="Times New Roman"/>
          <w:color w:val="000000" w:themeColor="text1"/>
          <w:sz w:val="24"/>
          <w:szCs w:val="24"/>
        </w:rPr>
        <w:t xml:space="preserve">e di razionalizzare, riordinare e semplificare la disciplina </w:t>
      </w:r>
      <w:r w:rsidRPr="00B64BB6">
        <w:rPr>
          <w:rFonts w:ascii="Times New Roman" w:hAnsi="Times New Roman" w:cs="Times New Roman"/>
          <w:color w:val="000000" w:themeColor="text1"/>
          <w:sz w:val="24"/>
          <w:szCs w:val="24"/>
        </w:rPr>
        <w:t>vigente</w:t>
      </w:r>
      <w:r w:rsidRPr="00D35D9C">
        <w:rPr>
          <w:rFonts w:ascii="Times New Roman" w:hAnsi="Times New Roman" w:cs="Times New Roman"/>
          <w:color w:val="000000" w:themeColor="text1"/>
          <w:sz w:val="24"/>
          <w:szCs w:val="24"/>
        </w:rPr>
        <w:t xml:space="preserve"> in materia di contratti pubblici relativi a lavori, servizi e forniture</w:t>
      </w:r>
      <w:r w:rsidR="00163D90">
        <w:rPr>
          <w:rFonts w:ascii="Times New Roman" w:hAnsi="Times New Roman" w:cs="Times New Roman"/>
          <w:color w:val="000000" w:themeColor="text1"/>
          <w:sz w:val="24"/>
          <w:szCs w:val="24"/>
        </w:rPr>
        <w:t xml:space="preserve">, </w:t>
      </w:r>
      <w:r w:rsidR="00FE040C">
        <w:rPr>
          <w:rFonts w:ascii="Times New Roman" w:hAnsi="Times New Roman" w:cs="Times New Roman"/>
          <w:color w:val="000000" w:themeColor="text1"/>
          <w:sz w:val="24"/>
          <w:szCs w:val="24"/>
        </w:rPr>
        <w:t xml:space="preserve">nonché </w:t>
      </w:r>
      <w:r w:rsidR="00FE040C" w:rsidRPr="0064026A">
        <w:rPr>
          <w:rFonts w:ascii="Times New Roman" w:hAnsi="Times New Roman" w:cs="Times New Roman"/>
          <w:color w:val="000000" w:themeColor="text1"/>
          <w:sz w:val="24"/>
          <w:szCs w:val="24"/>
        </w:rPr>
        <w:t xml:space="preserve"> </w:t>
      </w:r>
      <w:r w:rsidR="00163D90" w:rsidRPr="0064026A">
        <w:rPr>
          <w:rFonts w:ascii="Times New Roman" w:hAnsi="Times New Roman" w:cs="Times New Roman"/>
          <w:color w:val="000000" w:themeColor="text1"/>
          <w:sz w:val="24"/>
          <w:szCs w:val="24"/>
        </w:rPr>
        <w:t>al fine</w:t>
      </w:r>
      <w:r w:rsidR="00163D90" w:rsidRPr="0064026A">
        <w:rPr>
          <w:rFonts w:ascii="Times New Roman" w:hAnsi="Times New Roman" w:cs="Times New Roman"/>
          <w:b/>
          <w:color w:val="000000" w:themeColor="text1"/>
          <w:sz w:val="24"/>
          <w:szCs w:val="24"/>
        </w:rPr>
        <w:t xml:space="preserve"> </w:t>
      </w:r>
      <w:r w:rsidR="00457080" w:rsidRPr="0064026A">
        <w:rPr>
          <w:rFonts w:ascii="Times New Roman" w:hAnsi="Times New Roman" w:cs="Times New Roman"/>
          <w:color w:val="000000" w:themeColor="text1"/>
          <w:sz w:val="24"/>
          <w:szCs w:val="24"/>
        </w:rPr>
        <w:t xml:space="preserve">di </w:t>
      </w:r>
      <w:r w:rsidR="00163D90" w:rsidRPr="0064026A">
        <w:rPr>
          <w:rFonts w:ascii="Times New Roman" w:hAnsi="Times New Roman" w:cs="Times New Roman"/>
          <w:color w:val="000000" w:themeColor="text1"/>
          <w:sz w:val="24"/>
          <w:szCs w:val="24"/>
        </w:rPr>
        <w:t>evitare l’avvio di procedure di infrazione da parte della Commissione europea e di giungere alla risoluzione delle procedure avviate</w:t>
      </w:r>
      <w:r w:rsidRPr="0064026A">
        <w:rPr>
          <w:rFonts w:ascii="Times New Roman" w:hAnsi="Times New Roman" w:cs="Times New Roman"/>
          <w:color w:val="000000" w:themeColor="text1"/>
          <w:sz w:val="24"/>
          <w:szCs w:val="24"/>
        </w:rPr>
        <w:t>.</w:t>
      </w:r>
    </w:p>
    <w:p w14:paraId="6BB18FF7" w14:textId="77777777" w:rsidR="002F231E" w:rsidRPr="00D35D9C"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color w:val="000000" w:themeColor="text1"/>
          <w:sz w:val="24"/>
          <w:szCs w:val="24"/>
        </w:rPr>
        <w:t xml:space="preserve">2. I decreti legislativi di cui al comma 1 sono adottati, senza nuovi o maggiori oneri per la finanza pubblica, nel rispetto dei seguenti </w:t>
      </w:r>
      <w:proofErr w:type="spellStart"/>
      <w:r w:rsidRPr="00D35D9C">
        <w:rPr>
          <w:rFonts w:ascii="Times New Roman" w:hAnsi="Times New Roman" w:cs="Times New Roman"/>
          <w:color w:val="000000" w:themeColor="text1"/>
          <w:sz w:val="24"/>
          <w:szCs w:val="24"/>
        </w:rPr>
        <w:t>princìpi</w:t>
      </w:r>
      <w:proofErr w:type="spellEnd"/>
      <w:r w:rsidRPr="00D35D9C">
        <w:rPr>
          <w:rFonts w:ascii="Times New Roman" w:hAnsi="Times New Roman" w:cs="Times New Roman"/>
          <w:color w:val="000000" w:themeColor="text1"/>
          <w:sz w:val="24"/>
          <w:szCs w:val="24"/>
        </w:rPr>
        <w:t xml:space="preserve"> e criteri direttivi:</w:t>
      </w:r>
    </w:p>
    <w:p w14:paraId="726FABB9" w14:textId="236A7114" w:rsidR="00856665" w:rsidRPr="00163D90" w:rsidRDefault="00C13705" w:rsidP="00163D90">
      <w:pPr>
        <w:pStyle w:val="Paragrafoelenco"/>
        <w:numPr>
          <w:ilvl w:val="0"/>
          <w:numId w:val="1"/>
        </w:numPr>
        <w:spacing w:line="240" w:lineRule="auto"/>
        <w:rPr>
          <w:color w:val="000000" w:themeColor="text1"/>
          <w:sz w:val="24"/>
        </w:rPr>
      </w:pPr>
      <w:r w:rsidRPr="00B64BB6">
        <w:rPr>
          <w:color w:val="000000" w:themeColor="text1"/>
          <w:sz w:val="24"/>
        </w:rPr>
        <w:t xml:space="preserve">perseguimento di obbiettivi di stretta aderenza alle </w:t>
      </w:r>
      <w:r w:rsidR="002F231E" w:rsidRPr="00B64BB6">
        <w:rPr>
          <w:color w:val="000000" w:themeColor="text1"/>
          <w:sz w:val="24"/>
        </w:rPr>
        <w:t>direttive</w:t>
      </w:r>
      <w:r w:rsidR="002F231E" w:rsidRPr="00D35D9C">
        <w:rPr>
          <w:color w:val="000000" w:themeColor="text1"/>
          <w:sz w:val="24"/>
        </w:rPr>
        <w:t xml:space="preserve"> europee, </w:t>
      </w:r>
      <w:r w:rsidR="002F231E" w:rsidRPr="00D35D9C">
        <w:rPr>
          <w:sz w:val="24"/>
        </w:rPr>
        <w:t>mediante l'introduzione o il mantenimento di livelli di regolazione corrispondenti a quelli minimi richiesti dalle direttive stesse</w:t>
      </w:r>
      <w:r w:rsidR="002F231E" w:rsidRPr="00D35D9C">
        <w:rPr>
          <w:color w:val="000000" w:themeColor="text1"/>
          <w:sz w:val="24"/>
        </w:rPr>
        <w:t xml:space="preserve">, al fine di </w:t>
      </w:r>
      <w:r w:rsidR="00163D90">
        <w:rPr>
          <w:color w:val="000000" w:themeColor="text1"/>
          <w:sz w:val="24"/>
        </w:rPr>
        <w:t>assicurare l’</w:t>
      </w:r>
      <w:r w:rsidR="00163D90" w:rsidRPr="00D35D9C">
        <w:rPr>
          <w:color w:val="000000" w:themeColor="text1"/>
          <w:sz w:val="24"/>
        </w:rPr>
        <w:t>apertura alla concorrenza e al confronto competitivo fra gli operatori dei mercati dei lavori</w:t>
      </w:r>
      <w:r w:rsidR="00163D90">
        <w:rPr>
          <w:color w:val="000000" w:themeColor="text1"/>
          <w:sz w:val="24"/>
        </w:rPr>
        <w:t xml:space="preserve">, dei servizi e delle forniture, nonché </w:t>
      </w:r>
      <w:r w:rsidR="002F231E" w:rsidRPr="00163D90">
        <w:rPr>
          <w:color w:val="000000" w:themeColor="text1"/>
          <w:sz w:val="24"/>
        </w:rPr>
        <w:t xml:space="preserve">assicurare una </w:t>
      </w:r>
      <w:r w:rsidR="002F231E" w:rsidRPr="00B64BB6">
        <w:rPr>
          <w:color w:val="000000" w:themeColor="text1"/>
          <w:sz w:val="24"/>
        </w:rPr>
        <w:t>drastica riduzione e razionalizzazione delle norme in materia di contratti pubblici</w:t>
      </w:r>
      <w:r w:rsidR="000467F2" w:rsidRPr="00B64BB6">
        <w:rPr>
          <w:color w:val="000000" w:themeColor="text1"/>
          <w:sz w:val="24"/>
        </w:rPr>
        <w:t>, con ridefinizione del regime della disciplina secondaria, ove necessario</w:t>
      </w:r>
      <w:r w:rsidR="002F231E" w:rsidRPr="00163D90">
        <w:rPr>
          <w:color w:val="000000" w:themeColor="text1"/>
          <w:sz w:val="24"/>
        </w:rPr>
        <w:t>;</w:t>
      </w:r>
    </w:p>
    <w:p w14:paraId="76F487E6" w14:textId="7CD51CD2" w:rsidR="00163D90" w:rsidRPr="000F6FC5" w:rsidRDefault="002F231E" w:rsidP="00163D90">
      <w:pPr>
        <w:pStyle w:val="Paragrafoelenco"/>
        <w:numPr>
          <w:ilvl w:val="0"/>
          <w:numId w:val="1"/>
        </w:numPr>
        <w:spacing w:line="240" w:lineRule="auto"/>
        <w:rPr>
          <w:sz w:val="24"/>
        </w:rPr>
      </w:pPr>
      <w:r w:rsidRPr="0073627E">
        <w:rPr>
          <w:sz w:val="24"/>
        </w:rPr>
        <w:t xml:space="preserve">ridefinizione e rafforzamento della disciplina in materia di qualificazione delle stazioni appaltanti, </w:t>
      </w:r>
      <w:r w:rsidRPr="001930CF">
        <w:rPr>
          <w:sz w:val="24"/>
        </w:rPr>
        <w:t xml:space="preserve">al fine di conseguirne </w:t>
      </w:r>
      <w:r w:rsidR="00FE040C">
        <w:rPr>
          <w:sz w:val="24"/>
        </w:rPr>
        <w:t>la</w:t>
      </w:r>
      <w:r w:rsidRPr="001930CF">
        <w:rPr>
          <w:sz w:val="24"/>
        </w:rPr>
        <w:t xml:space="preserve"> </w:t>
      </w:r>
      <w:r w:rsidR="00163D90" w:rsidRPr="001930CF">
        <w:rPr>
          <w:sz w:val="24"/>
        </w:rPr>
        <w:t xml:space="preserve">loro </w:t>
      </w:r>
      <w:r w:rsidRPr="001930CF">
        <w:rPr>
          <w:sz w:val="24"/>
        </w:rPr>
        <w:t>forte riduzione numerica</w:t>
      </w:r>
      <w:r w:rsidR="00163D90" w:rsidRPr="001930CF">
        <w:rPr>
          <w:sz w:val="24"/>
        </w:rPr>
        <w:t>,</w:t>
      </w:r>
      <w:r w:rsidRPr="001930CF">
        <w:rPr>
          <w:sz w:val="24"/>
        </w:rPr>
        <w:t xml:space="preserve"> nonché</w:t>
      </w:r>
      <w:r w:rsidRPr="001930CF">
        <w:rPr>
          <w:color w:val="FF0000"/>
          <w:sz w:val="24"/>
        </w:rPr>
        <w:t xml:space="preserve"> </w:t>
      </w:r>
      <w:r w:rsidRPr="001930CF">
        <w:rPr>
          <w:sz w:val="24"/>
        </w:rPr>
        <w:t xml:space="preserve">l’accorpamento e la riorganizzazione delle stesse e </w:t>
      </w:r>
      <w:r w:rsidRPr="001930CF">
        <w:rPr>
          <w:color w:val="000000" w:themeColor="text1"/>
          <w:sz w:val="24"/>
        </w:rPr>
        <w:t xml:space="preserve">introduzione di forti incentivi </w:t>
      </w:r>
      <w:r w:rsidR="001930CF">
        <w:rPr>
          <w:color w:val="000000" w:themeColor="text1"/>
          <w:sz w:val="24"/>
        </w:rPr>
        <w:t>al</w:t>
      </w:r>
      <w:r w:rsidRPr="0073627E">
        <w:rPr>
          <w:color w:val="000000" w:themeColor="text1"/>
          <w:sz w:val="24"/>
        </w:rPr>
        <w:t>l’utilizzo delle centrali di committenza e delle stazioni appaltanti ausiliarie per l'espletamento delle gare pubbliche</w:t>
      </w:r>
      <w:r w:rsidR="00163D90">
        <w:rPr>
          <w:color w:val="000000" w:themeColor="text1"/>
          <w:sz w:val="24"/>
        </w:rPr>
        <w:t xml:space="preserve">, e </w:t>
      </w:r>
      <w:r w:rsidR="00163D90" w:rsidRPr="000F6FC5">
        <w:rPr>
          <w:sz w:val="24"/>
        </w:rPr>
        <w:t>potenziamento della qualificazione e della specializzazione del personale operante nelle stazioni appaltanti;</w:t>
      </w:r>
    </w:p>
    <w:p w14:paraId="3EDEEA83" w14:textId="7E42EA91" w:rsidR="002F231E" w:rsidRPr="000F6FC5" w:rsidRDefault="002F231E" w:rsidP="000F6FC5">
      <w:pPr>
        <w:pStyle w:val="Paragrafoelenco"/>
        <w:numPr>
          <w:ilvl w:val="0"/>
          <w:numId w:val="1"/>
        </w:numPr>
        <w:spacing w:line="240" w:lineRule="auto"/>
        <w:rPr>
          <w:sz w:val="24"/>
        </w:rPr>
      </w:pPr>
      <w:r w:rsidRPr="000F6FC5">
        <w:rPr>
          <w:sz w:val="24"/>
        </w:rPr>
        <w:t xml:space="preserve">massima semplificazione della disciplina applicabile ai contratti pubblici di lavori, servizi e forniture di importo inferiore alle soglie di </w:t>
      </w:r>
      <w:r w:rsidRPr="00B64BB6">
        <w:rPr>
          <w:sz w:val="24"/>
        </w:rPr>
        <w:t>rilevanza</w:t>
      </w:r>
      <w:r w:rsidR="001930CF" w:rsidRPr="00B64BB6">
        <w:rPr>
          <w:sz w:val="24"/>
        </w:rPr>
        <w:t xml:space="preserve"> europea</w:t>
      </w:r>
      <w:r w:rsidRPr="00B64BB6">
        <w:rPr>
          <w:sz w:val="24"/>
        </w:rPr>
        <w:t>,</w:t>
      </w:r>
      <w:r w:rsidRPr="000F6FC5">
        <w:rPr>
          <w:sz w:val="24"/>
        </w:rPr>
        <w:t xml:space="preserve"> nel rispetto dei principi di trasparenza e di concorrenzialità;</w:t>
      </w:r>
    </w:p>
    <w:p w14:paraId="08D76F92" w14:textId="56467C09" w:rsidR="002F231E" w:rsidRPr="000F6FC5" w:rsidRDefault="002F231E" w:rsidP="000F6FC5">
      <w:pPr>
        <w:pStyle w:val="Paragrafoelenco"/>
        <w:numPr>
          <w:ilvl w:val="0"/>
          <w:numId w:val="1"/>
        </w:numPr>
        <w:spacing w:line="240" w:lineRule="auto"/>
        <w:rPr>
          <w:sz w:val="24"/>
        </w:rPr>
      </w:pPr>
      <w:r w:rsidRPr="0073627E">
        <w:rPr>
          <w:sz w:val="24"/>
        </w:rPr>
        <w:t>massima semplificazione delle procedure finalizzate alla realizzazione di investimenti in tecnologie verdi e digitali, nonché in innovazione e ricerca</w:t>
      </w:r>
      <w:r w:rsidR="009D16F4" w:rsidRPr="0073627E">
        <w:rPr>
          <w:sz w:val="24"/>
        </w:rPr>
        <w:t>, anche al fine di conseguire gli obiettivi di sviluppo sostenibile adottati dall’Assemblea generale delle Nazioni Unite il 25 settembre 2015, di incrementare il grado di ecosostenibilità degli investimenti pubblici e delle attività economiche secondo i criteri di cui al Regolamento (UE) 2020/852 del Parlamento europeo e del Consiglio del 18 giugno 2020</w:t>
      </w:r>
      <w:r w:rsidRPr="0073627E">
        <w:rPr>
          <w:sz w:val="24"/>
        </w:rPr>
        <w:t>;</w:t>
      </w:r>
    </w:p>
    <w:p w14:paraId="1D84D7EE" w14:textId="77777777" w:rsidR="00157D8F" w:rsidRPr="00157D8F" w:rsidRDefault="00227FAC" w:rsidP="00157D8F">
      <w:pPr>
        <w:pStyle w:val="Paragrafoelenco"/>
        <w:numPr>
          <w:ilvl w:val="0"/>
          <w:numId w:val="1"/>
        </w:numPr>
        <w:spacing w:line="240" w:lineRule="auto"/>
        <w:rPr>
          <w:color w:val="000000" w:themeColor="text1"/>
          <w:sz w:val="24"/>
        </w:rPr>
      </w:pPr>
      <w:r>
        <w:rPr>
          <w:sz w:val="24"/>
        </w:rPr>
        <w:t xml:space="preserve">previsione della facoltà ovvero dell’obbligo per le stazioni appaltanti di </w:t>
      </w:r>
      <w:r w:rsidR="0047616E" w:rsidRPr="009C7325">
        <w:rPr>
          <w:sz w:val="24"/>
        </w:rPr>
        <w:t>inserire, nei bandi di gara, avvisi e inviti, tenuto conto della tipologia di intervento e nel rispetto dei principi dell’Unione europea, specifiche clausole sociali e ambientali, con cui potranno essere indicati, come requisiti necessari o premiali dell’offerta, criteri orientati tra l’altro a: promuovere la stabilità occupazionale del personale impiegato; garantire l’applicazione dei contratti collettivi nazionali e territoriali di settore, tenendo conto, in relazione all’oggetto dell’appalto e alla prestazioni da eseguire, di quelli stipulati dalle associazioni dei datori e dei  prestatori  di  lavoro  comparativamente  più rappresentative sul piano nazionale; promuovere le pari opportunità generazionali e di genere</w:t>
      </w:r>
      <w:r w:rsidR="000467F2">
        <w:rPr>
          <w:sz w:val="24"/>
        </w:rPr>
        <w:t>;</w:t>
      </w:r>
    </w:p>
    <w:p w14:paraId="13135471" w14:textId="39F33021" w:rsidR="00157D8F" w:rsidRPr="00157D8F" w:rsidRDefault="002F231E" w:rsidP="00157D8F">
      <w:pPr>
        <w:pStyle w:val="Paragrafoelenco"/>
        <w:numPr>
          <w:ilvl w:val="0"/>
          <w:numId w:val="1"/>
        </w:numPr>
        <w:spacing w:line="240" w:lineRule="auto"/>
        <w:rPr>
          <w:color w:val="000000" w:themeColor="text1"/>
          <w:sz w:val="24"/>
        </w:rPr>
      </w:pPr>
      <w:r w:rsidRPr="00157D8F">
        <w:rPr>
          <w:sz w:val="24"/>
        </w:rPr>
        <w:t>significativa riduzione e certezza dei tempi relativi alle procedure di gara, alla stipula dei contratti</w:t>
      </w:r>
      <w:r w:rsidR="00DF0B5E" w:rsidRPr="00157D8F">
        <w:rPr>
          <w:sz w:val="24"/>
        </w:rPr>
        <w:t xml:space="preserve">, </w:t>
      </w:r>
      <w:r w:rsidRPr="00157D8F">
        <w:rPr>
          <w:sz w:val="24"/>
        </w:rPr>
        <w:t xml:space="preserve">alla realizzazione delle opere pubbliche, anche attraverso la </w:t>
      </w:r>
      <w:r w:rsidRPr="00157D8F">
        <w:rPr>
          <w:sz w:val="24"/>
        </w:rPr>
        <w:lastRenderedPageBreak/>
        <w:t>piena digitalizzazione e informatizzazione delle stesse procedure</w:t>
      </w:r>
      <w:r w:rsidR="004C2109" w:rsidRPr="00157D8F">
        <w:rPr>
          <w:sz w:val="24"/>
        </w:rPr>
        <w:t xml:space="preserve">, il superamento dell’Albo nazionale dei componenti delle commissioni giudicatrici e rafforzamento della specializzazione professionale dei commissari all’interno di ciascuna amministrazione, </w:t>
      </w:r>
      <w:r w:rsidRPr="00157D8F">
        <w:rPr>
          <w:sz w:val="24"/>
        </w:rPr>
        <w:t>la riduzione degli oneri documentali ed economici a carico dei soggetti partecipanti</w:t>
      </w:r>
      <w:r w:rsidR="004C2109" w:rsidRPr="00157D8F">
        <w:rPr>
          <w:sz w:val="24"/>
        </w:rPr>
        <w:t>, nonché di quelli relativi</w:t>
      </w:r>
      <w:r w:rsidR="00424B73" w:rsidRPr="00157D8F">
        <w:rPr>
          <w:sz w:val="24"/>
        </w:rPr>
        <w:t xml:space="preserve"> al</w:t>
      </w:r>
      <w:r w:rsidR="00DF0B5E" w:rsidRPr="00157D8F">
        <w:rPr>
          <w:sz w:val="24"/>
        </w:rPr>
        <w:t xml:space="preserve"> </w:t>
      </w:r>
      <w:r w:rsidR="00424B73" w:rsidRPr="00157D8F">
        <w:rPr>
          <w:sz w:val="24"/>
        </w:rPr>
        <w:t>pagamento</w:t>
      </w:r>
      <w:r w:rsidR="00DF0B5E" w:rsidRPr="00157D8F">
        <w:rPr>
          <w:sz w:val="24"/>
        </w:rPr>
        <w:t xml:space="preserve"> </w:t>
      </w:r>
      <w:r w:rsidR="00424B73" w:rsidRPr="00157D8F">
        <w:rPr>
          <w:sz w:val="24"/>
        </w:rPr>
        <w:t xml:space="preserve">del corrispettivo e degli acconti dovuti </w:t>
      </w:r>
      <w:r w:rsidR="00DF0B5E" w:rsidRPr="00157D8F">
        <w:rPr>
          <w:sz w:val="24"/>
        </w:rPr>
        <w:t>in favore degli operato</w:t>
      </w:r>
      <w:r w:rsidR="00AC0D09" w:rsidRPr="00157D8F">
        <w:rPr>
          <w:sz w:val="24"/>
        </w:rPr>
        <w:t>ri economici, in relazione all’adozione dello stato di avanzamento</w:t>
      </w:r>
      <w:r w:rsidR="00DF0B5E" w:rsidRPr="00157D8F">
        <w:rPr>
          <w:sz w:val="24"/>
        </w:rPr>
        <w:t xml:space="preserve"> </w:t>
      </w:r>
      <w:r w:rsidR="00AC0D09" w:rsidRPr="00157D8F">
        <w:rPr>
          <w:sz w:val="24"/>
        </w:rPr>
        <w:t>dei lavori effettuati</w:t>
      </w:r>
      <w:r w:rsidRPr="00157D8F">
        <w:rPr>
          <w:sz w:val="24"/>
        </w:rPr>
        <w:t>;</w:t>
      </w:r>
    </w:p>
    <w:p w14:paraId="2C739B7F" w14:textId="77777777" w:rsidR="00157D8F" w:rsidRPr="00157D8F" w:rsidRDefault="002F231E" w:rsidP="00157D8F">
      <w:pPr>
        <w:pStyle w:val="Paragrafoelenco"/>
        <w:numPr>
          <w:ilvl w:val="0"/>
          <w:numId w:val="1"/>
        </w:numPr>
        <w:spacing w:line="240" w:lineRule="auto"/>
        <w:rPr>
          <w:color w:val="000000" w:themeColor="text1"/>
          <w:sz w:val="24"/>
        </w:rPr>
      </w:pPr>
      <w:r w:rsidRPr="00157D8F">
        <w:rPr>
          <w:sz w:val="24"/>
        </w:rPr>
        <w:t>revisione e semplificazione della normativa primaria in materia di programmazione, localizzazione delle opere pubbliche e dibattito pubblico, al fine di rendere le relative scelte maggiormente rispondenti ai fabbisogni della comunità, e più celeri e meno conflittuali le procedure finalizzate al raggiungimento dell’intesa fra i diversi livelli territoriali coinvolti nelle stesse;</w:t>
      </w:r>
    </w:p>
    <w:p w14:paraId="4E562A81" w14:textId="77777777" w:rsidR="00767AD7" w:rsidRPr="00767AD7" w:rsidRDefault="002F231E" w:rsidP="00767AD7">
      <w:pPr>
        <w:pStyle w:val="Paragrafoelenco"/>
        <w:numPr>
          <w:ilvl w:val="0"/>
          <w:numId w:val="1"/>
        </w:numPr>
        <w:spacing w:line="240" w:lineRule="auto"/>
        <w:rPr>
          <w:color w:val="000000" w:themeColor="text1"/>
          <w:sz w:val="24"/>
        </w:rPr>
      </w:pPr>
      <w:r w:rsidRPr="00157D8F">
        <w:rPr>
          <w:sz w:val="24"/>
        </w:rPr>
        <w:t>significativa semplificazione delle procedure relative alla fase di approvazione dei progetti in materia di opere pubbliche, anche attraverso la ridefinizione e l’eventuale riduzione dei livelli di progettazione, lo snellimento delle procedure di verifica e validazione dei progetti e la razionalizzazione dell'attività e della composizione del Consiglio Superiore dei lavori pubblici;</w:t>
      </w:r>
    </w:p>
    <w:p w14:paraId="7EEECB7C" w14:textId="339D00CF" w:rsidR="002F231E" w:rsidRPr="00767AD7" w:rsidRDefault="002F231E" w:rsidP="00767AD7">
      <w:pPr>
        <w:pStyle w:val="Paragrafoelenco"/>
        <w:numPr>
          <w:ilvl w:val="0"/>
          <w:numId w:val="1"/>
        </w:numPr>
        <w:spacing w:line="240" w:lineRule="auto"/>
        <w:rPr>
          <w:color w:val="000000" w:themeColor="text1"/>
          <w:sz w:val="24"/>
        </w:rPr>
      </w:pPr>
      <w:r w:rsidRPr="00767AD7">
        <w:rPr>
          <w:sz w:val="24"/>
        </w:rPr>
        <w:t>revisione e semplificazione del sistema di qualificazione generale degli operatori, valorizzando criteri di verifica formale e sostanziale delle capacità realizzative, delle competenze tecniche e professionali,</w:t>
      </w:r>
      <w:r w:rsidR="002D1D22" w:rsidRPr="00767AD7">
        <w:rPr>
          <w:sz w:val="24"/>
        </w:rPr>
        <w:t xml:space="preserve"> del rispetto della legalità, ivi comprese delle disposizioni relative alla tutela del lavoro e quella in materia di prevenzione e contrasto della discriminazione di genere,</w:t>
      </w:r>
      <w:r w:rsidRPr="00767AD7">
        <w:rPr>
          <w:sz w:val="24"/>
        </w:rPr>
        <w:t xml:space="preserve"> nonché delle attività effettivamente eseguite, anche attraverso l’utilizzo di banche dati a livello centrale che riducano le incertezze in sede di qualificazione degli operatori nelle singole procedure di gare;</w:t>
      </w:r>
    </w:p>
    <w:p w14:paraId="2A015287" w14:textId="1438D153" w:rsidR="002F231E" w:rsidRPr="000F6FC5" w:rsidRDefault="002F231E" w:rsidP="000F6FC5">
      <w:pPr>
        <w:pStyle w:val="Paragrafoelenco"/>
        <w:numPr>
          <w:ilvl w:val="0"/>
          <w:numId w:val="5"/>
        </w:numPr>
        <w:spacing w:line="240" w:lineRule="auto"/>
        <w:rPr>
          <w:sz w:val="24"/>
        </w:rPr>
      </w:pPr>
      <w:r w:rsidRPr="000F6FC5">
        <w:rPr>
          <w:sz w:val="24"/>
        </w:rPr>
        <w:t xml:space="preserve">riduzione degli automatismi nella valutazione delle offerte, anche in relazione alla verifica delle offerte anomale, e </w:t>
      </w:r>
      <w:r w:rsidR="004C2109">
        <w:rPr>
          <w:sz w:val="24"/>
        </w:rPr>
        <w:t xml:space="preserve">tipizzazione </w:t>
      </w:r>
      <w:r w:rsidRPr="000F6FC5">
        <w:rPr>
          <w:sz w:val="24"/>
        </w:rPr>
        <w:t>dei casi in cui le stazioni appaltanti possono ricorrere, ai fini dell’aggiudicazione, al solo criterio del prezzo o del costo, inteso come criterio del prezzo più basso o del massimo ribasso d’offerta;</w:t>
      </w:r>
    </w:p>
    <w:p w14:paraId="7F7F6FA3" w14:textId="77777777" w:rsidR="002F231E" w:rsidRPr="000F6FC5" w:rsidRDefault="002F231E" w:rsidP="000F6FC5">
      <w:pPr>
        <w:pStyle w:val="Paragrafoelenco"/>
        <w:numPr>
          <w:ilvl w:val="0"/>
          <w:numId w:val="5"/>
        </w:numPr>
        <w:spacing w:line="240" w:lineRule="auto"/>
        <w:rPr>
          <w:sz w:val="24"/>
        </w:rPr>
      </w:pPr>
      <w:r w:rsidRPr="000F6FC5">
        <w:rPr>
          <w:sz w:val="24"/>
        </w:rPr>
        <w:t>forte incentivo al ricorso a procedure flessibili, quali il dialogo competitivo, il partenariato per l’innovazione e le procedure negoziate con bando, per la stipula di contratti pubblici complessi e di lunga durata, nel rispetto dei principi di trasparenza e di concorrenzialità;</w:t>
      </w:r>
    </w:p>
    <w:p w14:paraId="1ECD7D3D" w14:textId="77777777" w:rsidR="00157D8F" w:rsidRDefault="002F231E" w:rsidP="00157D8F">
      <w:pPr>
        <w:pStyle w:val="Paragrafoelenco"/>
        <w:numPr>
          <w:ilvl w:val="0"/>
          <w:numId w:val="5"/>
        </w:numPr>
        <w:spacing w:line="240" w:lineRule="auto"/>
        <w:rPr>
          <w:sz w:val="24"/>
        </w:rPr>
      </w:pPr>
      <w:r w:rsidRPr="000F6FC5">
        <w:rPr>
          <w:sz w:val="24"/>
        </w:rPr>
        <w:t xml:space="preserve">razionalizzazione, semplificazione ed estensione delle forme di partenariato pubblico-privato, con particolare riguardo alla finanza di progetto, </w:t>
      </w:r>
      <w:r w:rsidRPr="00D35D9C">
        <w:rPr>
          <w:sz w:val="24"/>
        </w:rPr>
        <w:t>anche al fine di rendere tali procedure effettivamente attrattive per gli investitori professionali, oltre che pe</w:t>
      </w:r>
      <w:r w:rsidRPr="0064026A">
        <w:rPr>
          <w:sz w:val="24"/>
        </w:rPr>
        <w:t>r gli operatori del mercato delle opere pubbliche</w:t>
      </w:r>
      <w:r w:rsidR="00457080" w:rsidRPr="0064026A">
        <w:rPr>
          <w:sz w:val="24"/>
        </w:rPr>
        <w:t>, garantendo la trasparenza e la pubblicità degli atti</w:t>
      </w:r>
      <w:r w:rsidRPr="00D35D9C">
        <w:rPr>
          <w:sz w:val="24"/>
        </w:rPr>
        <w:t>;</w:t>
      </w:r>
    </w:p>
    <w:p w14:paraId="566A920D" w14:textId="77777777" w:rsidR="00157D8F" w:rsidRDefault="002F231E" w:rsidP="00157D8F">
      <w:pPr>
        <w:pStyle w:val="Paragrafoelenco"/>
        <w:numPr>
          <w:ilvl w:val="0"/>
          <w:numId w:val="5"/>
        </w:numPr>
        <w:spacing w:line="240" w:lineRule="auto"/>
        <w:rPr>
          <w:sz w:val="24"/>
        </w:rPr>
      </w:pPr>
      <w:r w:rsidRPr="00157D8F">
        <w:rPr>
          <w:sz w:val="24"/>
        </w:rPr>
        <w:t>precisazione delle cause che giustificano la stipulazione di contratti segretati o che esigono particolari misure di sicurezza e specificazione delle relative modalità attuative;</w:t>
      </w:r>
    </w:p>
    <w:p w14:paraId="7B7B8566" w14:textId="77777777" w:rsidR="00157D8F" w:rsidRDefault="002F231E" w:rsidP="00157D8F">
      <w:pPr>
        <w:pStyle w:val="Paragrafoelenco"/>
        <w:numPr>
          <w:ilvl w:val="0"/>
          <w:numId w:val="5"/>
        </w:numPr>
        <w:spacing w:line="240" w:lineRule="auto"/>
        <w:rPr>
          <w:sz w:val="24"/>
        </w:rPr>
      </w:pPr>
      <w:r w:rsidRPr="00157D8F">
        <w:rPr>
          <w:sz w:val="24"/>
        </w:rPr>
        <w:t>individuazione dei contratti esclusi dall’ambito di applicazione de</w:t>
      </w:r>
      <w:r w:rsidR="000F6FC5" w:rsidRPr="00157D8F">
        <w:rPr>
          <w:sz w:val="24"/>
        </w:rPr>
        <w:t xml:space="preserve">i decreti legislativi di cui al comma 1 </w:t>
      </w:r>
      <w:r w:rsidRPr="00157D8F">
        <w:rPr>
          <w:sz w:val="24"/>
        </w:rPr>
        <w:t>e semplificazione della disciplina giuridica ad essi applicabile;</w:t>
      </w:r>
    </w:p>
    <w:p w14:paraId="45778239" w14:textId="433A838A" w:rsidR="00157D8F" w:rsidRPr="00B64BB6" w:rsidRDefault="006F5B65" w:rsidP="00157D8F">
      <w:pPr>
        <w:pStyle w:val="Paragrafoelenco"/>
        <w:numPr>
          <w:ilvl w:val="0"/>
          <w:numId w:val="5"/>
        </w:numPr>
        <w:spacing w:line="240" w:lineRule="auto"/>
        <w:rPr>
          <w:sz w:val="24"/>
        </w:rPr>
      </w:pPr>
      <w:r w:rsidRPr="00B64BB6">
        <w:rPr>
          <w:sz w:val="24"/>
        </w:rPr>
        <w:t xml:space="preserve">individuazione </w:t>
      </w:r>
      <w:r w:rsidR="002F231E" w:rsidRPr="00B64BB6">
        <w:rPr>
          <w:sz w:val="24"/>
        </w:rPr>
        <w:t xml:space="preserve">delle ipotesi in cui le stazioni appaltanti possono ricorrere all’affidamento congiunto della progettazione e dell’esecuzione dei lavori; </w:t>
      </w:r>
    </w:p>
    <w:p w14:paraId="54A6A0C8" w14:textId="77777777" w:rsidR="00157D8F" w:rsidRPr="00B64BB6" w:rsidRDefault="002F231E" w:rsidP="00157D8F">
      <w:pPr>
        <w:pStyle w:val="Paragrafoelenco"/>
        <w:numPr>
          <w:ilvl w:val="0"/>
          <w:numId w:val="5"/>
        </w:numPr>
        <w:spacing w:line="240" w:lineRule="auto"/>
        <w:rPr>
          <w:sz w:val="24"/>
        </w:rPr>
      </w:pPr>
      <w:r w:rsidRPr="00B64BB6">
        <w:rPr>
          <w:sz w:val="24"/>
        </w:rPr>
        <w:t>divieto di proroga dei contratti di concessione</w:t>
      </w:r>
      <w:r w:rsidR="00896600" w:rsidRPr="00B64BB6">
        <w:rPr>
          <w:sz w:val="24"/>
        </w:rPr>
        <w:t xml:space="preserve">, </w:t>
      </w:r>
      <w:r w:rsidR="008D7E96" w:rsidRPr="00B64BB6">
        <w:rPr>
          <w:sz w:val="24"/>
        </w:rPr>
        <w:t>fatti salvi i principi europei in materia</w:t>
      </w:r>
      <w:r w:rsidR="00896600" w:rsidRPr="00B64BB6">
        <w:rPr>
          <w:sz w:val="24"/>
        </w:rPr>
        <w:t xml:space="preserve"> </w:t>
      </w:r>
      <w:r w:rsidR="008D7E96" w:rsidRPr="00B64BB6">
        <w:rPr>
          <w:sz w:val="24"/>
        </w:rPr>
        <w:t>d</w:t>
      </w:r>
      <w:r w:rsidR="00896600" w:rsidRPr="00B64BB6">
        <w:rPr>
          <w:sz w:val="24"/>
        </w:rPr>
        <w:t>i</w:t>
      </w:r>
      <w:r w:rsidR="006F6292" w:rsidRPr="00B64BB6">
        <w:rPr>
          <w:sz w:val="24"/>
        </w:rPr>
        <w:t xml:space="preserve"> affidamento</w:t>
      </w:r>
      <w:r w:rsidR="00896600" w:rsidRPr="00B64BB6">
        <w:rPr>
          <w:sz w:val="24"/>
        </w:rPr>
        <w:t xml:space="preserve"> </w:t>
      </w:r>
      <w:r w:rsidR="00896600" w:rsidRPr="00B64BB6">
        <w:rPr>
          <w:i/>
          <w:sz w:val="24"/>
        </w:rPr>
        <w:t>in house</w:t>
      </w:r>
      <w:r w:rsidR="001C6DC5" w:rsidRPr="00B64BB6">
        <w:rPr>
          <w:sz w:val="24"/>
        </w:rPr>
        <w:t>,</w:t>
      </w:r>
      <w:r w:rsidR="00896600" w:rsidRPr="00B64BB6">
        <w:rPr>
          <w:sz w:val="24"/>
        </w:rPr>
        <w:t xml:space="preserve"> </w:t>
      </w:r>
      <w:r w:rsidRPr="00B64BB6">
        <w:rPr>
          <w:sz w:val="24"/>
        </w:rPr>
        <w:t>e razionalizzazione della disciplina sul controllo degli investimenti dei concessionari e sullo stato delle opere realizzate, fermi restando</w:t>
      </w:r>
      <w:r w:rsidR="00896600" w:rsidRPr="00B64BB6">
        <w:rPr>
          <w:sz w:val="24"/>
        </w:rPr>
        <w:t xml:space="preserve"> </w:t>
      </w:r>
      <w:r w:rsidRPr="00B64BB6">
        <w:rPr>
          <w:sz w:val="24"/>
        </w:rPr>
        <w:t xml:space="preserve">gli obblighi dei concessionari sulla corretta e puntuale esecuzione dei </w:t>
      </w:r>
      <w:r w:rsidRPr="00B64BB6">
        <w:rPr>
          <w:sz w:val="24"/>
        </w:rPr>
        <w:lastRenderedPageBreak/>
        <w:t xml:space="preserve">contratti, </w:t>
      </w:r>
      <w:r w:rsidR="006F6292" w:rsidRPr="00B64BB6">
        <w:rPr>
          <w:sz w:val="24"/>
        </w:rPr>
        <w:t>prevedendo sanzioni proporzionate all’entità dell’inadempimento, ivi compresa la decadenza in caso di inadempimento grave</w:t>
      </w:r>
      <w:r w:rsidRPr="00B64BB6">
        <w:rPr>
          <w:sz w:val="24"/>
        </w:rPr>
        <w:t xml:space="preserve">; </w:t>
      </w:r>
    </w:p>
    <w:p w14:paraId="417BB92E" w14:textId="77777777" w:rsidR="00157D8F" w:rsidRDefault="002F231E" w:rsidP="00157D8F">
      <w:pPr>
        <w:pStyle w:val="Paragrafoelenco"/>
        <w:numPr>
          <w:ilvl w:val="0"/>
          <w:numId w:val="5"/>
        </w:numPr>
        <w:spacing w:line="240" w:lineRule="auto"/>
        <w:rPr>
          <w:sz w:val="24"/>
        </w:rPr>
      </w:pPr>
      <w:r w:rsidRPr="00157D8F">
        <w:rPr>
          <w:sz w:val="24"/>
        </w:rPr>
        <w:t xml:space="preserve">razionalizzazione della disciplina concernente le modalità di affidamento dei contratti da parte dei concessionari, anche al fine di introdurre una disciplina specifica per i rapporti concessori riguardanti la gestione di servizi e, in particolare, dei servizi di interesse economico generale;  </w:t>
      </w:r>
    </w:p>
    <w:p w14:paraId="72FD5277" w14:textId="77777777" w:rsidR="00157D8F" w:rsidRDefault="002F231E" w:rsidP="00157D8F">
      <w:pPr>
        <w:pStyle w:val="Paragrafoelenco"/>
        <w:numPr>
          <w:ilvl w:val="0"/>
          <w:numId w:val="5"/>
        </w:numPr>
        <w:spacing w:line="240" w:lineRule="auto"/>
        <w:rPr>
          <w:sz w:val="24"/>
        </w:rPr>
      </w:pPr>
      <w:r w:rsidRPr="00157D8F">
        <w:rPr>
          <w:sz w:val="24"/>
        </w:rPr>
        <w:t>razionalizzazione della disciplina concernente i meccanismi sanzionatori e premiali finalizzati a incentivare la tempestiva esecuzione dei contratti pubblici da parte dell’aggiudicatario, anche al fine di estenderne l’ambito di applicazione;</w:t>
      </w:r>
    </w:p>
    <w:p w14:paraId="6BE64AFF" w14:textId="04983539" w:rsidR="0064026A" w:rsidRPr="0064026A" w:rsidRDefault="0064026A" w:rsidP="0064026A">
      <w:pPr>
        <w:numPr>
          <w:ilvl w:val="0"/>
          <w:numId w:val="5"/>
        </w:numPr>
        <w:spacing w:after="0"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estensione e rafforzamento dei metodi di risoluzione delle controversie alternativi al rimedio giurisdizionale, anche in materia di esecuzione del contratto;</w:t>
      </w:r>
    </w:p>
    <w:p w14:paraId="431B85FE" w14:textId="63D32716" w:rsidR="002F231E" w:rsidRPr="00D35D9C"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color w:val="000000" w:themeColor="text1"/>
          <w:sz w:val="24"/>
          <w:szCs w:val="24"/>
        </w:rPr>
        <w:t>3. I decreti legislativi di cui al comma 1 abrogano espressamente tutte le disposizioni riordinate o con essi incompatibili e dettano le opportune disposizioni di coordinamento in relazione alle disposizioni non abrogate</w:t>
      </w:r>
      <w:r w:rsidR="000E5DA2">
        <w:rPr>
          <w:rFonts w:ascii="Times New Roman" w:hAnsi="Times New Roman" w:cs="Times New Roman"/>
          <w:color w:val="000000" w:themeColor="text1"/>
          <w:sz w:val="24"/>
          <w:szCs w:val="24"/>
        </w:rPr>
        <w:t xml:space="preserve"> </w:t>
      </w:r>
      <w:r w:rsidR="000E5DA2" w:rsidRPr="0064026A">
        <w:rPr>
          <w:rFonts w:ascii="Times New Roman" w:hAnsi="Times New Roman" w:cs="Times New Roman"/>
          <w:color w:val="000000" w:themeColor="text1"/>
          <w:sz w:val="24"/>
          <w:szCs w:val="24"/>
        </w:rPr>
        <w:t>o non modificate</w:t>
      </w:r>
      <w:r w:rsidRPr="0064026A">
        <w:rPr>
          <w:rFonts w:ascii="Times New Roman" w:hAnsi="Times New Roman" w:cs="Times New Roman"/>
          <w:color w:val="000000" w:themeColor="text1"/>
          <w:sz w:val="24"/>
          <w:szCs w:val="24"/>
        </w:rPr>
        <w:t>.</w:t>
      </w:r>
      <w:r w:rsidRPr="00D35D9C">
        <w:rPr>
          <w:rFonts w:ascii="Times New Roman" w:hAnsi="Times New Roman" w:cs="Times New Roman"/>
          <w:color w:val="000000" w:themeColor="text1"/>
          <w:sz w:val="24"/>
          <w:szCs w:val="24"/>
        </w:rPr>
        <w:t xml:space="preserve"> </w:t>
      </w:r>
    </w:p>
    <w:p w14:paraId="11F03725" w14:textId="56D48413" w:rsidR="002F231E" w:rsidRPr="00D35D9C"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color w:val="000000" w:themeColor="text1"/>
          <w:sz w:val="24"/>
          <w:szCs w:val="24"/>
        </w:rPr>
        <w:t>4. I decreti legislativi di cui al comma 1 sono adottati su proposta del Presidente del Consiglio dei ministri</w:t>
      </w:r>
      <w:r w:rsidR="00DF0B5E">
        <w:rPr>
          <w:rFonts w:ascii="Times New Roman" w:hAnsi="Times New Roman" w:cs="Times New Roman"/>
          <w:color w:val="000000" w:themeColor="text1"/>
          <w:sz w:val="24"/>
          <w:szCs w:val="24"/>
        </w:rPr>
        <w:t xml:space="preserve"> </w:t>
      </w:r>
      <w:r w:rsidR="00C236A3">
        <w:rPr>
          <w:rFonts w:ascii="Times New Roman" w:hAnsi="Times New Roman" w:cs="Times New Roman"/>
          <w:color w:val="000000" w:themeColor="text1"/>
          <w:sz w:val="24"/>
          <w:szCs w:val="24"/>
        </w:rPr>
        <w:t>e</w:t>
      </w:r>
      <w:r w:rsidR="00DF0B5E">
        <w:rPr>
          <w:rFonts w:ascii="Times New Roman" w:hAnsi="Times New Roman" w:cs="Times New Roman"/>
          <w:color w:val="000000" w:themeColor="text1"/>
          <w:sz w:val="24"/>
          <w:szCs w:val="24"/>
        </w:rPr>
        <w:t xml:space="preserve"> </w:t>
      </w:r>
      <w:r w:rsidR="00C236A3">
        <w:rPr>
          <w:rFonts w:ascii="Times New Roman" w:hAnsi="Times New Roman" w:cs="Times New Roman"/>
          <w:color w:val="000000" w:themeColor="text1"/>
          <w:sz w:val="24"/>
          <w:szCs w:val="24"/>
        </w:rPr>
        <w:t>de</w:t>
      </w:r>
      <w:r w:rsidR="00DF0B5E">
        <w:rPr>
          <w:rFonts w:ascii="Times New Roman" w:hAnsi="Times New Roman" w:cs="Times New Roman"/>
          <w:color w:val="000000" w:themeColor="text1"/>
          <w:sz w:val="24"/>
          <w:szCs w:val="24"/>
        </w:rPr>
        <w:t>l Ministro delle infrastrutture e della mobilità sostenibili</w:t>
      </w:r>
      <w:r w:rsidRPr="00D35D9C">
        <w:rPr>
          <w:rFonts w:ascii="Times New Roman" w:hAnsi="Times New Roman" w:cs="Times New Roman"/>
          <w:color w:val="000000" w:themeColor="text1"/>
          <w:sz w:val="24"/>
          <w:szCs w:val="24"/>
        </w:rPr>
        <w:t>. Sugli schemi di decreto legislativo è acquisito il parere del Consiglio di Stato</w:t>
      </w:r>
      <w:r w:rsidR="00C236A3">
        <w:rPr>
          <w:rFonts w:ascii="Times New Roman" w:hAnsi="Times New Roman" w:cs="Times New Roman"/>
          <w:color w:val="000000" w:themeColor="text1"/>
          <w:sz w:val="24"/>
          <w:szCs w:val="24"/>
        </w:rPr>
        <w:t>, della Conferenza unificata di cui all’articolo 8 del decreto legislativo 28 agosto 1997, n. 281, e successive modificazioni,</w:t>
      </w:r>
      <w:r w:rsidRPr="00D35D9C">
        <w:rPr>
          <w:rFonts w:ascii="Times New Roman" w:hAnsi="Times New Roman" w:cs="Times New Roman"/>
          <w:color w:val="000000" w:themeColor="text1"/>
          <w:sz w:val="24"/>
          <w:szCs w:val="24"/>
        </w:rPr>
        <w:t xml:space="preserve"> e delle competenti Commissioni parlamentari. I pareri sono resi entro </w:t>
      </w:r>
      <w:r w:rsidR="000467F2">
        <w:rPr>
          <w:rFonts w:ascii="Times New Roman" w:hAnsi="Times New Roman" w:cs="Times New Roman"/>
          <w:color w:val="000000" w:themeColor="text1"/>
          <w:sz w:val="24"/>
          <w:szCs w:val="24"/>
        </w:rPr>
        <w:t>trenta</w:t>
      </w:r>
      <w:r w:rsidR="000467F2" w:rsidRPr="00D35D9C">
        <w:rPr>
          <w:rFonts w:ascii="Times New Roman" w:hAnsi="Times New Roman" w:cs="Times New Roman"/>
          <w:color w:val="000000" w:themeColor="text1"/>
          <w:sz w:val="24"/>
          <w:szCs w:val="24"/>
        </w:rPr>
        <w:t xml:space="preserve"> </w:t>
      </w:r>
      <w:r w:rsidRPr="00D35D9C">
        <w:rPr>
          <w:rFonts w:ascii="Times New Roman" w:hAnsi="Times New Roman" w:cs="Times New Roman"/>
          <w:color w:val="000000" w:themeColor="text1"/>
          <w:sz w:val="24"/>
          <w:szCs w:val="24"/>
        </w:rPr>
        <w:t>giorni dalla richiesta.  Decorso tale termine, i decreti possono essere emanati anche senza i predetti pareri. Ove il Governo, nell'attuazione della delega di cui  al  presente  articolo, intenda avvalersi della facoltà di cui all'articolo 14,  numero  2°, del testo unico</w:t>
      </w:r>
      <w:r w:rsidR="005E65E5">
        <w:rPr>
          <w:rFonts w:ascii="Times New Roman" w:hAnsi="Times New Roman" w:cs="Times New Roman"/>
          <w:color w:val="000000" w:themeColor="text1"/>
          <w:sz w:val="24"/>
          <w:szCs w:val="24"/>
        </w:rPr>
        <w:t xml:space="preserve"> delle leggi</w:t>
      </w:r>
      <w:r w:rsidRPr="00D35D9C">
        <w:rPr>
          <w:rFonts w:ascii="Times New Roman" w:hAnsi="Times New Roman" w:cs="Times New Roman"/>
          <w:color w:val="000000" w:themeColor="text1"/>
          <w:sz w:val="24"/>
          <w:szCs w:val="24"/>
        </w:rPr>
        <w:t xml:space="preserve"> sul Consiglio di Stato, di cui al  regio  decreto  26 giugno 1924, n. 1054, il Consiglio di Stato può utilizzare, al  fine della stesura  dell'articolato  normativo,  magistrati di tribunale amministrativo regionale, esperti esterni e rappresentanti del libero foro e dell'Avvocatura generale dello  Stato,  i  quali  prestano  la propria attività a titolo gratuito e senza diritto al rimborso delle spese. Sugli schemi redatti dal Consiglio di Stato non è acquisito il parere dello stesso. Entro due anni dalla data di entrata in vigore dei decreti legislativi di cui al comma 1, possono ad essi essere apportate le correzioni e integrazioni che l'applicazione pratica renda necessarie od opportune, con lo stesso procedimento e in base ai medesimi principi e criteri direttivi previsti per l'emanazione degli originari decreti. </w:t>
      </w:r>
    </w:p>
    <w:p w14:paraId="47804010" w14:textId="77777777" w:rsidR="002F231E" w:rsidRPr="00D35D9C" w:rsidRDefault="002F231E" w:rsidP="002F231E">
      <w:pPr>
        <w:spacing w:after="0" w:line="240" w:lineRule="auto"/>
        <w:contextualSpacing/>
        <w:jc w:val="both"/>
        <w:rPr>
          <w:rFonts w:ascii="Times New Roman" w:hAnsi="Times New Roman" w:cs="Times New Roman"/>
          <w:color w:val="000000" w:themeColor="text1"/>
          <w:sz w:val="24"/>
          <w:szCs w:val="24"/>
        </w:rPr>
      </w:pPr>
      <w:r w:rsidRPr="00D35D9C">
        <w:rPr>
          <w:rFonts w:ascii="Times New Roman" w:hAnsi="Times New Roman" w:cs="Times New Roman"/>
          <w:color w:val="000000" w:themeColor="text1"/>
          <w:sz w:val="24"/>
          <w:szCs w:val="24"/>
        </w:rPr>
        <w:t xml:space="preserve">5. Dall’attuazione del presente articolo non devono derivare nuovi o maggiori oneri per la finanza pubblica.  </w:t>
      </w:r>
    </w:p>
    <w:p w14:paraId="1E267371" w14:textId="33A67F63" w:rsidR="00DB3796" w:rsidRDefault="00F10E03"/>
    <w:p w14:paraId="48A5D20B" w14:textId="77777777" w:rsidR="003A25BF" w:rsidRPr="00606BE9" w:rsidRDefault="003A25BF" w:rsidP="003A25BF">
      <w:pPr>
        <w:pStyle w:val="Nessunaspaziatura"/>
        <w:jc w:val="center"/>
        <w:rPr>
          <w:rFonts w:ascii="Times New Roman" w:hAnsi="Times New Roman" w:cs="Times New Roman"/>
          <w:b/>
          <w:sz w:val="24"/>
          <w:szCs w:val="24"/>
        </w:rPr>
      </w:pPr>
      <w:r w:rsidRPr="00606BE9">
        <w:rPr>
          <w:rFonts w:ascii="Times New Roman" w:hAnsi="Times New Roman" w:cs="Times New Roman"/>
          <w:b/>
          <w:sz w:val="24"/>
          <w:szCs w:val="24"/>
        </w:rPr>
        <w:t>RELAZIONE ILLUSTRATIVA</w:t>
      </w:r>
    </w:p>
    <w:p w14:paraId="1C77DE85" w14:textId="77777777" w:rsidR="003A25BF" w:rsidRDefault="003A25BF" w:rsidP="003A25BF">
      <w:pPr>
        <w:pStyle w:val="Nessunaspaziatura"/>
        <w:rPr>
          <w:rFonts w:ascii="Times New Roman" w:hAnsi="Times New Roman" w:cs="Times New Roman"/>
          <w:b/>
          <w:sz w:val="24"/>
          <w:szCs w:val="24"/>
          <w:u w:val="single"/>
        </w:rPr>
      </w:pPr>
    </w:p>
    <w:p w14:paraId="3DA044B8" w14:textId="77777777" w:rsidR="003A25BF" w:rsidRDefault="003A25BF" w:rsidP="003A25BF">
      <w:pPr>
        <w:spacing w:after="0" w:line="240" w:lineRule="auto"/>
        <w:contextualSpacing/>
        <w:jc w:val="center"/>
        <w:rPr>
          <w:rFonts w:ascii="Times New Roman" w:hAnsi="Times New Roman" w:cs="Times New Roman"/>
          <w:b/>
          <w:color w:val="000000" w:themeColor="text1"/>
          <w:sz w:val="24"/>
          <w:szCs w:val="24"/>
        </w:rPr>
      </w:pPr>
      <w:r w:rsidRPr="00D35D9C">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RT</w:t>
      </w:r>
      <w:r w:rsidRPr="00D35D9C">
        <w:rPr>
          <w:rFonts w:ascii="Times New Roman" w:hAnsi="Times New Roman" w:cs="Times New Roman"/>
          <w:b/>
          <w:color w:val="000000" w:themeColor="text1"/>
          <w:sz w:val="24"/>
          <w:szCs w:val="24"/>
        </w:rPr>
        <w:t>. 1</w:t>
      </w:r>
    </w:p>
    <w:p w14:paraId="48792DB8" w14:textId="77777777" w:rsidR="003A25BF" w:rsidRPr="00F0105E" w:rsidRDefault="003A25BF" w:rsidP="003A25BF">
      <w:pPr>
        <w:pStyle w:val="Nessunaspaziatura"/>
        <w:jc w:val="center"/>
        <w:rPr>
          <w:rFonts w:ascii="Times New Roman" w:hAnsi="Times New Roman" w:cs="Times New Roman"/>
          <w:b/>
          <w:sz w:val="24"/>
          <w:szCs w:val="24"/>
          <w:u w:val="single"/>
        </w:rPr>
      </w:pPr>
      <w:r>
        <w:rPr>
          <w:rFonts w:ascii="Times New Roman" w:hAnsi="Times New Roman" w:cs="Times New Roman"/>
          <w:b/>
          <w:color w:val="000000" w:themeColor="text1"/>
          <w:sz w:val="24"/>
          <w:szCs w:val="24"/>
        </w:rPr>
        <w:t>(D</w:t>
      </w:r>
      <w:r w:rsidRPr="00A35A55">
        <w:rPr>
          <w:rFonts w:ascii="Times New Roman" w:hAnsi="Times New Roman" w:cs="Times New Roman"/>
          <w:b/>
          <w:color w:val="000000" w:themeColor="text1"/>
          <w:sz w:val="24"/>
          <w:szCs w:val="24"/>
        </w:rPr>
        <w:t xml:space="preserve">elega al </w:t>
      </w:r>
      <w:r>
        <w:rPr>
          <w:rFonts w:ascii="Times New Roman" w:hAnsi="Times New Roman" w:cs="Times New Roman"/>
          <w:b/>
          <w:color w:val="000000" w:themeColor="text1"/>
          <w:sz w:val="24"/>
          <w:szCs w:val="24"/>
        </w:rPr>
        <w:t>G</w:t>
      </w:r>
      <w:r w:rsidRPr="00A35A55">
        <w:rPr>
          <w:rFonts w:ascii="Times New Roman" w:hAnsi="Times New Roman" w:cs="Times New Roman"/>
          <w:b/>
          <w:color w:val="000000" w:themeColor="text1"/>
          <w:sz w:val="24"/>
          <w:szCs w:val="24"/>
        </w:rPr>
        <w:t>overno in materia di contratti pubblici</w:t>
      </w:r>
      <w:r>
        <w:rPr>
          <w:rFonts w:ascii="Times New Roman" w:hAnsi="Times New Roman" w:cs="Times New Roman"/>
          <w:b/>
          <w:color w:val="000000" w:themeColor="text1"/>
          <w:sz w:val="24"/>
          <w:szCs w:val="24"/>
        </w:rPr>
        <w:t>)</w:t>
      </w:r>
    </w:p>
    <w:p w14:paraId="6BDBD4BE" w14:textId="77777777" w:rsidR="003A25BF" w:rsidRPr="00C57235" w:rsidRDefault="003A25BF" w:rsidP="003A25BF">
      <w:pPr>
        <w:spacing w:after="0" w:line="240" w:lineRule="auto"/>
        <w:contextualSpacing/>
        <w:jc w:val="both"/>
        <w:rPr>
          <w:rFonts w:ascii="Times New Roman" w:hAnsi="Times New Roman" w:cs="Times New Roman"/>
          <w:b/>
          <w:sz w:val="24"/>
          <w:szCs w:val="24"/>
        </w:rPr>
      </w:pPr>
    </w:p>
    <w:p w14:paraId="6B7D6240" w14:textId="77777777" w:rsidR="003A25BF" w:rsidRPr="00C57235" w:rsidRDefault="003A25BF" w:rsidP="003A25BF">
      <w:pPr>
        <w:spacing w:after="120" w:line="240" w:lineRule="auto"/>
        <w:jc w:val="both"/>
        <w:rPr>
          <w:rFonts w:ascii="Times New Roman" w:hAnsi="Times New Roman" w:cs="Times New Roman"/>
          <w:sz w:val="24"/>
          <w:szCs w:val="24"/>
        </w:rPr>
      </w:pPr>
      <w:r w:rsidRPr="00C57235">
        <w:rPr>
          <w:rFonts w:ascii="Times New Roman" w:hAnsi="Times New Roman"/>
          <w:sz w:val="24"/>
          <w:szCs w:val="24"/>
        </w:rPr>
        <w:t xml:space="preserve">L’articolo </w:t>
      </w:r>
      <w:r>
        <w:rPr>
          <w:rFonts w:ascii="Times New Roman" w:hAnsi="Times New Roman"/>
          <w:sz w:val="24"/>
          <w:szCs w:val="24"/>
        </w:rPr>
        <w:t xml:space="preserve">unico </w:t>
      </w:r>
      <w:r w:rsidRPr="00C57235">
        <w:rPr>
          <w:rFonts w:ascii="Times New Roman" w:hAnsi="Times New Roman"/>
          <w:sz w:val="24"/>
          <w:szCs w:val="24"/>
        </w:rPr>
        <w:t xml:space="preserve">contiene la delega al Governo per </w:t>
      </w:r>
      <w:r w:rsidRPr="00C57235">
        <w:rPr>
          <w:rFonts w:ascii="Times New Roman" w:hAnsi="Times New Roman" w:cs="Times New Roman"/>
          <w:color w:val="000000" w:themeColor="text1"/>
          <w:sz w:val="24"/>
          <w:szCs w:val="24"/>
        </w:rPr>
        <w:t>la disciplina dei contratti pubblici, anche al fine di adeguare la normativa interna al diritto europeo</w:t>
      </w:r>
      <w:r w:rsidRPr="00C57235">
        <w:rPr>
          <w:rFonts w:ascii="Times New Roman" w:hAnsi="Times New Roman" w:cs="Times New Roman"/>
          <w:sz w:val="24"/>
          <w:szCs w:val="24"/>
        </w:rPr>
        <w:t xml:space="preserve"> e ai principi espressi dalla giurisprudenza della Corte costituzionale e delle giurisdizioni superiori, interne e sovranazionali, nonché</w:t>
      </w:r>
      <w:r w:rsidRPr="00C57235">
        <w:rPr>
          <w:rFonts w:ascii="Times New Roman" w:hAnsi="Times New Roman" w:cs="Times New Roman"/>
          <w:color w:val="000000" w:themeColor="text1"/>
          <w:sz w:val="24"/>
          <w:szCs w:val="24"/>
        </w:rPr>
        <w:t xml:space="preserve"> di razionalizzare, riordinare e semplificare la disciplina vigente in materia di contratti pubblici relativi a lavori, servizi e forniture, nonché al fine di evitare l’avvio di procedure di infrazione da parte della Commissione europea e di giungere alla risoluzione delle procedure avviate.</w:t>
      </w:r>
    </w:p>
    <w:p w14:paraId="442F1A60" w14:textId="77777777" w:rsidR="003A25BF" w:rsidRPr="00C57235" w:rsidRDefault="003A25BF" w:rsidP="003A25BF">
      <w:pPr>
        <w:spacing w:after="120" w:line="240" w:lineRule="auto"/>
        <w:jc w:val="both"/>
        <w:rPr>
          <w:rFonts w:ascii="Times New Roman" w:hAnsi="Times New Roman"/>
          <w:sz w:val="24"/>
          <w:szCs w:val="24"/>
        </w:rPr>
      </w:pPr>
      <w:r w:rsidRPr="00C57235">
        <w:rPr>
          <w:rFonts w:ascii="Times New Roman" w:hAnsi="Times New Roman"/>
          <w:sz w:val="24"/>
          <w:szCs w:val="24"/>
        </w:rPr>
        <w:t xml:space="preserve">La riforma della normativa di riferimento si è resa necessaria non solo al fine di adeguare il settore dei contratti pubblici all’evoluzione della giurisprudenza in materia ma anche per rimediare ai problemi applicativi riscontrati a seguito dell’entrata in vigore del decreto </w:t>
      </w:r>
      <w:r w:rsidRPr="00C57235">
        <w:rPr>
          <w:rFonts w:ascii="Times New Roman" w:hAnsi="Times New Roman"/>
          <w:sz w:val="24"/>
          <w:szCs w:val="24"/>
        </w:rPr>
        <w:lastRenderedPageBreak/>
        <w:t xml:space="preserve">legislativo 18 aprile 2016, n. 50, del decreto legislativo 19 aprile 2017, n. 56 e dei vari provvedimenti legislativi che, ancorché ispirati all’esigenza di assicurare la coerenza dell’ordinamento nazionale a quello </w:t>
      </w:r>
      <w:proofErr w:type="spellStart"/>
      <w:r w:rsidRPr="00C57235">
        <w:rPr>
          <w:rFonts w:ascii="Times New Roman" w:hAnsi="Times New Roman"/>
          <w:sz w:val="24"/>
          <w:szCs w:val="24"/>
        </w:rPr>
        <w:t>eurounitario</w:t>
      </w:r>
      <w:proofErr w:type="spellEnd"/>
      <w:r w:rsidRPr="00C57235">
        <w:rPr>
          <w:rFonts w:ascii="Times New Roman" w:hAnsi="Times New Roman"/>
          <w:sz w:val="24"/>
          <w:szCs w:val="24"/>
        </w:rPr>
        <w:t xml:space="preserve"> e di favorire una più celere realizzazione degli investimenti pubblici, hanno in più parti derogato (in alcuni casi anche in modo permanente) alla disciplina contenuta nel codice dei contratti pubblici.</w:t>
      </w:r>
    </w:p>
    <w:p w14:paraId="5E13A8B8" w14:textId="77777777" w:rsidR="003A25BF" w:rsidRPr="00C57235" w:rsidRDefault="003A25BF" w:rsidP="003A25BF">
      <w:pPr>
        <w:spacing w:after="120" w:line="240" w:lineRule="auto"/>
        <w:jc w:val="both"/>
        <w:rPr>
          <w:rFonts w:ascii="Times New Roman" w:hAnsi="Times New Roman" w:cs="Times New Roman"/>
          <w:bCs/>
          <w:color w:val="000000" w:themeColor="text1"/>
          <w:sz w:val="24"/>
          <w:szCs w:val="24"/>
        </w:rPr>
      </w:pPr>
      <w:r w:rsidRPr="00C57235">
        <w:rPr>
          <w:rFonts w:ascii="Times New Roman" w:hAnsi="Times New Roman"/>
          <w:sz w:val="24"/>
          <w:szCs w:val="24"/>
        </w:rPr>
        <w:t>Ne è derivato</w:t>
      </w:r>
      <w:r w:rsidRPr="00C57235">
        <w:rPr>
          <w:rFonts w:ascii="Times New Roman" w:hAnsi="Times New Roman" w:cs="Times New Roman"/>
          <w:bCs/>
          <w:color w:val="000000" w:themeColor="text1"/>
          <w:sz w:val="24"/>
          <w:szCs w:val="24"/>
        </w:rPr>
        <w:t xml:space="preserve"> un quadro giuridico di settore poco organico e chiaro, oltreché estremamente fluido e in continuo divenire, all’interno del quale si è inserita l’epidemia da COVID- 19, che ha imposto, sia al fine di fronteggiare la situazione di emergenza, sia al fine di favorire la rapida ripresa dei settori economici, l’introduzione nell’ordinamento giuridico di ulteriori disposizioni derogatorie della disciplina recata dal codice dei contratti pubblici.</w:t>
      </w:r>
    </w:p>
    <w:p w14:paraId="333C7E80" w14:textId="77777777" w:rsidR="003A25BF" w:rsidRPr="00C57235" w:rsidRDefault="003A25BF" w:rsidP="003A25BF">
      <w:pPr>
        <w:autoSpaceDE w:val="0"/>
        <w:autoSpaceDN w:val="0"/>
        <w:adjustRightInd w:val="0"/>
        <w:spacing w:after="120" w:line="240" w:lineRule="auto"/>
        <w:jc w:val="both"/>
        <w:rPr>
          <w:rFonts w:ascii="Times New Roman" w:hAnsi="Times New Roman"/>
          <w:sz w:val="24"/>
        </w:rPr>
      </w:pPr>
      <w:r w:rsidRPr="00C57235">
        <w:rPr>
          <w:rFonts w:ascii="Times New Roman" w:hAnsi="Times New Roman"/>
          <w:sz w:val="24"/>
        </w:rPr>
        <w:t xml:space="preserve">La delega è pertanto finalizzata a restituire alle disposizioni codicistiche semplicità e chiarezza di linguaggio, nonché ragionevoli proporzioni dimensionali, limitando il più possibile nel testo i rinvii alla normazione secondaria. </w:t>
      </w:r>
    </w:p>
    <w:p w14:paraId="32CDBE4E" w14:textId="77777777" w:rsidR="003A25BF" w:rsidRPr="00C57235" w:rsidRDefault="003A25BF" w:rsidP="003A25BF">
      <w:pPr>
        <w:autoSpaceDE w:val="0"/>
        <w:autoSpaceDN w:val="0"/>
        <w:adjustRightInd w:val="0"/>
        <w:spacing w:after="120" w:line="240" w:lineRule="auto"/>
        <w:jc w:val="both"/>
        <w:rPr>
          <w:rFonts w:ascii="Times New Roman" w:hAnsi="Times New Roman"/>
          <w:sz w:val="24"/>
        </w:rPr>
      </w:pPr>
      <w:r w:rsidRPr="00C57235">
        <w:rPr>
          <w:rFonts w:ascii="Times New Roman" w:hAnsi="Times New Roman"/>
          <w:sz w:val="24"/>
        </w:rPr>
        <w:t>Dal punto di vista contenutistico la delega mira a:</w:t>
      </w:r>
    </w:p>
    <w:p w14:paraId="1A0A8CF5"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cs="Times New Roman"/>
          <w:bCs/>
          <w:color w:val="000000" w:themeColor="text1"/>
          <w:sz w:val="24"/>
          <w:szCs w:val="24"/>
        </w:rPr>
      </w:pPr>
      <w:r w:rsidRPr="00C57235">
        <w:rPr>
          <w:rFonts w:ascii="Times New Roman" w:hAnsi="Times New Roman" w:cs="Times New Roman"/>
          <w:b/>
          <w:bCs/>
          <w:color w:val="000000" w:themeColor="text1"/>
          <w:sz w:val="24"/>
          <w:szCs w:val="24"/>
        </w:rPr>
        <w:t>•</w:t>
      </w:r>
      <w:r w:rsidRPr="00C57235">
        <w:rPr>
          <w:rFonts w:ascii="Times New Roman" w:hAnsi="Times New Roman"/>
          <w:b/>
          <w:sz w:val="24"/>
        </w:rPr>
        <w:t xml:space="preserve">  </w:t>
      </w:r>
      <w:r w:rsidRPr="00C57235">
        <w:rPr>
          <w:rFonts w:ascii="Times New Roman" w:hAnsi="Times New Roman"/>
          <w:b/>
          <w:sz w:val="24"/>
        </w:rPr>
        <w:tab/>
      </w:r>
      <w:r w:rsidRPr="00C57235">
        <w:rPr>
          <w:rFonts w:ascii="Times New Roman" w:hAnsi="Times New Roman"/>
          <w:sz w:val="24"/>
        </w:rPr>
        <w:t>assicurare</w:t>
      </w:r>
      <w:r w:rsidRPr="00C57235">
        <w:rPr>
          <w:rFonts w:ascii="Times New Roman" w:hAnsi="Times New Roman"/>
          <w:b/>
          <w:sz w:val="24"/>
        </w:rPr>
        <w:t xml:space="preserve"> </w:t>
      </w:r>
      <w:r w:rsidRPr="00C57235">
        <w:rPr>
          <w:rFonts w:ascii="Times New Roman" w:hAnsi="Times New Roman"/>
          <w:sz w:val="24"/>
        </w:rPr>
        <w:t>il perseguimento di obbiettivi la stretta aderenza alle direttive europee mediante l'introduzione o il mantenimento di livelli di regolazione corrispondenti a quelli minimi richiesti dalle direttive stesse, al fine di assicurare l’apertura alla concorrenza e al confronto competitivo fra gli operatori dei mercati dei lavori, dei servizi e delle forniture, nonché assicurare una drastica riduzione e razionalizzazione delle norme in materia di contratti pubblici, con ridefinizione del regime della disciplina secondaria, ove necessario</w:t>
      </w:r>
      <w:r w:rsidRPr="00C57235">
        <w:rPr>
          <w:rFonts w:ascii="Times New Roman" w:hAnsi="Times New Roman"/>
          <w:b/>
          <w:sz w:val="24"/>
        </w:rPr>
        <w:t xml:space="preserve"> (comma 2, lettera a) </w:t>
      </w:r>
      <w:r w:rsidRPr="00C57235">
        <w:rPr>
          <w:rFonts w:ascii="Times New Roman" w:hAnsi="Times New Roman" w:cs="Times New Roman"/>
          <w:bCs/>
          <w:color w:val="000000" w:themeColor="text1"/>
          <w:sz w:val="24"/>
          <w:szCs w:val="24"/>
        </w:rPr>
        <w:t xml:space="preserve">da realizzarsi anche attraverso l’incentivazione all’utilizzo delle procedure flessibili, quali il dialogo competitivo, il partenariato per l’innovazione e le procedure negoziate con bando, per la stipula di contratti pubblici complessi e di lunga durata nel rispetto dei principi di trasparenza e concorrenzialità </w:t>
      </w:r>
      <w:r w:rsidRPr="00C57235">
        <w:rPr>
          <w:rFonts w:ascii="Times New Roman" w:hAnsi="Times New Roman" w:cs="Times New Roman"/>
          <w:b/>
          <w:color w:val="000000" w:themeColor="text1"/>
          <w:sz w:val="24"/>
          <w:szCs w:val="24"/>
        </w:rPr>
        <w:t>(comma 2, lettera m)</w:t>
      </w:r>
      <w:r w:rsidRPr="00C57235">
        <w:rPr>
          <w:rFonts w:ascii="Times New Roman" w:hAnsi="Times New Roman" w:cs="Times New Roman"/>
          <w:bCs/>
          <w:color w:val="000000" w:themeColor="text1"/>
          <w:sz w:val="24"/>
          <w:szCs w:val="24"/>
        </w:rPr>
        <w:t xml:space="preserve">, la  riduzione degli automatismi nella valutazione delle offerte, ivi compresa ai fini della verifica delle offerte anomale, e la tipizzazione dei casi in cui le stazioni appaltanti possono ricorrere, ai fini dell’aggiudicazione, al solo criterio del prezzo o del costo, inteso come criterio del prezzo più basso o del massimo ribasso d’offerta </w:t>
      </w:r>
      <w:r w:rsidRPr="00C57235">
        <w:rPr>
          <w:rFonts w:ascii="Times New Roman" w:hAnsi="Times New Roman" w:cs="Times New Roman"/>
          <w:b/>
          <w:color w:val="000000" w:themeColor="text1"/>
          <w:sz w:val="24"/>
          <w:szCs w:val="24"/>
        </w:rPr>
        <w:t>(comma 2, lettera l)</w:t>
      </w:r>
      <w:r w:rsidRPr="00C57235">
        <w:rPr>
          <w:rFonts w:ascii="Times New Roman" w:hAnsi="Times New Roman" w:cs="Times New Roman"/>
          <w:bCs/>
          <w:color w:val="000000" w:themeColor="text1"/>
          <w:sz w:val="24"/>
          <w:szCs w:val="24"/>
        </w:rPr>
        <w:t xml:space="preserve">, l’individuazione delle cause che giustificano la stipulazione di contratti secretati o che esigono particolari misure di sicurezza e specificazione delle relative modalità attuative </w:t>
      </w:r>
      <w:r w:rsidRPr="00C57235">
        <w:rPr>
          <w:rFonts w:ascii="Times New Roman" w:hAnsi="Times New Roman" w:cs="Times New Roman"/>
          <w:b/>
          <w:color w:val="000000" w:themeColor="text1"/>
          <w:sz w:val="24"/>
          <w:szCs w:val="24"/>
        </w:rPr>
        <w:t>(comma 2, lettera o)</w:t>
      </w:r>
      <w:r w:rsidRPr="00C57235">
        <w:rPr>
          <w:rFonts w:ascii="Times New Roman" w:hAnsi="Times New Roman" w:cs="Times New Roman"/>
          <w:bCs/>
          <w:color w:val="000000" w:themeColor="text1"/>
          <w:sz w:val="24"/>
          <w:szCs w:val="24"/>
        </w:rPr>
        <w:t xml:space="preserve">, il divieto di proroga dei contratti di concessione, fatti salvi i principi europei in materia di affidamento </w:t>
      </w:r>
      <w:r w:rsidRPr="00C57235">
        <w:rPr>
          <w:rFonts w:ascii="Times New Roman" w:hAnsi="Times New Roman" w:cs="Times New Roman"/>
          <w:bCs/>
          <w:i/>
          <w:color w:val="000000" w:themeColor="text1"/>
          <w:sz w:val="24"/>
          <w:szCs w:val="24"/>
        </w:rPr>
        <w:t>in house</w:t>
      </w:r>
      <w:r w:rsidRPr="00C57235">
        <w:rPr>
          <w:rFonts w:ascii="Times New Roman" w:hAnsi="Times New Roman" w:cs="Times New Roman"/>
          <w:bCs/>
          <w:color w:val="000000" w:themeColor="text1"/>
          <w:sz w:val="24"/>
          <w:szCs w:val="24"/>
        </w:rPr>
        <w:t xml:space="preserve"> e razionalizzazione della disciplina sul controllo degli investimenti effettuati dai concessionari  e sullo stato delle opere realizzate, fermo restando gli obblighi dei concessionari sulla corretta e puntuale esecuzione dei contratti, con la previsione di sanzioni proporzionate all’entità dell’inadempimento, compresa la previsione della decadenza in cadi inadempimento caratterizzato da gravita </w:t>
      </w:r>
      <w:r w:rsidRPr="00C57235">
        <w:rPr>
          <w:rFonts w:ascii="Times New Roman" w:hAnsi="Times New Roman" w:cs="Times New Roman"/>
          <w:b/>
          <w:color w:val="000000" w:themeColor="text1"/>
          <w:sz w:val="24"/>
          <w:szCs w:val="24"/>
        </w:rPr>
        <w:t>(comma 2, lettera r)</w:t>
      </w:r>
      <w:r w:rsidRPr="00C57235">
        <w:rPr>
          <w:rFonts w:ascii="Times New Roman" w:hAnsi="Times New Roman" w:cs="Times New Roman"/>
          <w:bCs/>
          <w:color w:val="000000" w:themeColor="text1"/>
          <w:sz w:val="24"/>
          <w:szCs w:val="24"/>
        </w:rPr>
        <w:t xml:space="preserve"> e la  razionalizzazione della disciplina concernente le modalità di affidamento dei contratti da parte dei concessionari, anche per introdurre una specifica disciplina relativa ai rapporti concessori riguardanti la gestione di sevizi di interesse economico generale </w:t>
      </w:r>
      <w:r w:rsidRPr="00C57235">
        <w:rPr>
          <w:rFonts w:ascii="Times New Roman" w:hAnsi="Times New Roman" w:cs="Times New Roman"/>
          <w:b/>
          <w:color w:val="000000" w:themeColor="text1"/>
          <w:sz w:val="24"/>
          <w:szCs w:val="24"/>
        </w:rPr>
        <w:t>(comma 2, lettera s)</w:t>
      </w:r>
      <w:r w:rsidRPr="00C57235">
        <w:rPr>
          <w:rFonts w:ascii="Times New Roman" w:hAnsi="Times New Roman" w:cs="Times New Roman"/>
          <w:bCs/>
          <w:color w:val="000000" w:themeColor="text1"/>
          <w:sz w:val="24"/>
          <w:szCs w:val="24"/>
        </w:rPr>
        <w:t xml:space="preserve">;  </w:t>
      </w:r>
    </w:p>
    <w:p w14:paraId="21CE4595" w14:textId="77777777" w:rsidR="003A25BF" w:rsidRPr="00F0105E" w:rsidRDefault="003A25BF" w:rsidP="003A25BF">
      <w:pPr>
        <w:pStyle w:val="Paragrafoelenco"/>
        <w:numPr>
          <w:ilvl w:val="0"/>
          <w:numId w:val="9"/>
        </w:numPr>
        <w:autoSpaceDE w:val="0"/>
        <w:autoSpaceDN w:val="0"/>
        <w:adjustRightInd w:val="0"/>
        <w:spacing w:after="120" w:line="240" w:lineRule="auto"/>
        <w:ind w:left="357" w:hanging="357"/>
        <w:contextualSpacing w:val="0"/>
        <w:rPr>
          <w:rFonts w:eastAsiaTheme="minorHAnsi" w:cstheme="minorBidi"/>
          <w:sz w:val="24"/>
          <w:szCs w:val="22"/>
          <w:lang w:eastAsia="en-US"/>
        </w:rPr>
      </w:pPr>
      <w:r w:rsidRPr="00C57235">
        <w:rPr>
          <w:rFonts w:eastAsiaTheme="minorHAnsi" w:cstheme="minorBidi"/>
          <w:sz w:val="24"/>
          <w:szCs w:val="22"/>
          <w:lang w:eastAsia="en-US"/>
        </w:rPr>
        <w:t xml:space="preserve">ridefinizione e rafforzamento della disciplina in materia di qualificazione delle stazioni appaltanti, con una loro forte riduzione numerica, anche tramite l’utilizzo delle centrali di committenza e delle stazioni appaltanti ausiliarie per l'espletamento delle gare pubbliche, e potenziamento della qualificazione e della specializzazione del personale operante nelle stazioni appaltanti </w:t>
      </w:r>
      <w:r w:rsidRPr="00C57235">
        <w:rPr>
          <w:rFonts w:eastAsiaTheme="minorHAnsi" w:cstheme="minorBidi"/>
          <w:b/>
          <w:sz w:val="24"/>
          <w:szCs w:val="22"/>
          <w:lang w:eastAsia="en-US"/>
        </w:rPr>
        <w:t>(comma 2, lettera b);</w:t>
      </w:r>
    </w:p>
    <w:p w14:paraId="01502FE9" w14:textId="77777777" w:rsidR="003A25BF" w:rsidRPr="00F0105E" w:rsidRDefault="003A25BF" w:rsidP="003A25BF">
      <w:pPr>
        <w:pStyle w:val="Paragrafoelenco"/>
        <w:numPr>
          <w:ilvl w:val="0"/>
          <w:numId w:val="9"/>
        </w:numPr>
        <w:autoSpaceDE w:val="0"/>
        <w:autoSpaceDN w:val="0"/>
        <w:adjustRightInd w:val="0"/>
        <w:spacing w:after="120" w:line="240" w:lineRule="auto"/>
        <w:ind w:left="357" w:hanging="357"/>
        <w:contextualSpacing w:val="0"/>
        <w:rPr>
          <w:rFonts w:eastAsiaTheme="minorHAnsi" w:cstheme="minorBidi"/>
          <w:sz w:val="24"/>
          <w:szCs w:val="22"/>
          <w:lang w:eastAsia="en-US"/>
        </w:rPr>
      </w:pPr>
      <w:r w:rsidRPr="00F0105E">
        <w:rPr>
          <w:sz w:val="24"/>
        </w:rPr>
        <w:t xml:space="preserve">ridurre e rendere certi i tempi di gara, di stipula dei contratti e di realizzazione delle opere pubbliche, anche attraverso </w:t>
      </w:r>
      <w:r w:rsidRPr="00F0105E">
        <w:rPr>
          <w:bCs/>
          <w:color w:val="000000" w:themeColor="text1"/>
          <w:sz w:val="24"/>
        </w:rPr>
        <w:t xml:space="preserve">la  revisione e semplificazione della normativa primaria in materia di programmazione, localizzazione delle opere pubbliche e dibattito pubblico </w:t>
      </w:r>
      <w:r w:rsidRPr="00F0105E">
        <w:rPr>
          <w:bCs/>
          <w:color w:val="000000" w:themeColor="text1"/>
          <w:sz w:val="24"/>
        </w:rPr>
        <w:lastRenderedPageBreak/>
        <w:t>(</w:t>
      </w:r>
      <w:r w:rsidRPr="00F0105E">
        <w:rPr>
          <w:b/>
          <w:bCs/>
          <w:color w:val="000000" w:themeColor="text1"/>
          <w:sz w:val="24"/>
        </w:rPr>
        <w:t>comma 2, lettera g),</w:t>
      </w:r>
      <w:r w:rsidRPr="00F0105E">
        <w:rPr>
          <w:bCs/>
          <w:color w:val="000000" w:themeColor="text1"/>
          <w:sz w:val="24"/>
        </w:rPr>
        <w:t xml:space="preserve"> la semplificazione delle procedure relative</w:t>
      </w:r>
      <w:r w:rsidRPr="00F0105E">
        <w:rPr>
          <w:color w:val="000000" w:themeColor="text1"/>
          <w:sz w:val="24"/>
        </w:rPr>
        <w:t xml:space="preserve"> alla fase di approvazione dei progetti in materia di opere pubbliche, </w:t>
      </w:r>
      <w:r w:rsidRPr="00F0105E">
        <w:rPr>
          <w:sz w:val="24"/>
        </w:rPr>
        <w:t xml:space="preserve">anche attraverso la ridefinizione e l’eventuale riduzione dei livelli di progettazione e lo snellimento delle procedure di verifica e validazione dei progetti, lo snellimento delle procedure di verifica e validazione dei progetti e la razionalizzazione dell'attività e della composizione del Consiglio Superiore dei lavori pubblici </w:t>
      </w:r>
      <w:r w:rsidRPr="00F0105E">
        <w:rPr>
          <w:b/>
          <w:color w:val="000000" w:themeColor="text1"/>
          <w:sz w:val="24"/>
        </w:rPr>
        <w:t xml:space="preserve">(comma 2, lettera h), </w:t>
      </w:r>
      <w:r w:rsidRPr="00F0105E">
        <w:rPr>
          <w:bCs/>
          <w:color w:val="000000" w:themeColor="text1"/>
          <w:sz w:val="24"/>
        </w:rPr>
        <w:t xml:space="preserve">la revisione e semplificazione del sistema di qualificazione generale degli operatori economici </w:t>
      </w:r>
      <w:r w:rsidRPr="00F0105E">
        <w:rPr>
          <w:b/>
          <w:color w:val="000000" w:themeColor="text1"/>
          <w:sz w:val="24"/>
        </w:rPr>
        <w:t>(comma 2, lettera i)</w:t>
      </w:r>
      <w:r w:rsidRPr="00F0105E">
        <w:rPr>
          <w:bCs/>
          <w:color w:val="000000" w:themeColor="text1"/>
          <w:sz w:val="24"/>
        </w:rPr>
        <w:t xml:space="preserve">, individuazione  delle ipotesi di affidamento congiunto di progettazione ed esecuzione </w:t>
      </w:r>
      <w:r w:rsidRPr="00F0105E">
        <w:rPr>
          <w:b/>
          <w:color w:val="000000" w:themeColor="text1"/>
          <w:sz w:val="24"/>
        </w:rPr>
        <w:t>(comma 2, lettera q)</w:t>
      </w:r>
      <w:r w:rsidRPr="00F0105E">
        <w:rPr>
          <w:bCs/>
          <w:color w:val="000000" w:themeColor="text1"/>
          <w:sz w:val="24"/>
        </w:rPr>
        <w:t xml:space="preserve">, la piena </w:t>
      </w:r>
      <w:r w:rsidRPr="00F0105E">
        <w:rPr>
          <w:sz w:val="24"/>
        </w:rPr>
        <w:t>digitalizzazione e informatizzazione delle procedure, anche ai fini dei controlli sui requisiti dichiarati dagli operatori economici,</w:t>
      </w:r>
      <w:r w:rsidRPr="00F0105E">
        <w:rPr>
          <w:bCs/>
          <w:color w:val="000000" w:themeColor="text1"/>
          <w:sz w:val="24"/>
        </w:rPr>
        <w:t xml:space="preserve"> la previsione di tempi certi per il pagamento degli acconti e dei corrispettivi agli operatori economici in relazione allo stato di avanzamento dei lavori</w:t>
      </w:r>
      <w:r w:rsidRPr="00F0105E">
        <w:rPr>
          <w:sz w:val="24"/>
        </w:rPr>
        <w:t xml:space="preserve">, il superamento dell’Albo nazionale dei componenti delle commissioni giudicatrici e rafforzamento della specializzazione professionale dei commissari all’interno di ciascuna amministrazione </w:t>
      </w:r>
      <w:r w:rsidRPr="00F0105E">
        <w:rPr>
          <w:b/>
          <w:color w:val="000000" w:themeColor="text1"/>
          <w:sz w:val="24"/>
        </w:rPr>
        <w:t xml:space="preserve">(comma 2, lettera f) </w:t>
      </w:r>
      <w:r w:rsidRPr="00F0105E">
        <w:rPr>
          <w:bCs/>
          <w:color w:val="000000" w:themeColor="text1"/>
          <w:sz w:val="24"/>
        </w:rPr>
        <w:t>e la</w:t>
      </w:r>
      <w:r w:rsidRPr="00F0105E">
        <w:rPr>
          <w:b/>
          <w:color w:val="000000" w:themeColor="text1"/>
          <w:sz w:val="24"/>
        </w:rPr>
        <w:t xml:space="preserve"> </w:t>
      </w:r>
      <w:r w:rsidRPr="00F0105E">
        <w:rPr>
          <w:bCs/>
          <w:color w:val="000000" w:themeColor="text1"/>
          <w:sz w:val="24"/>
        </w:rPr>
        <w:t xml:space="preserve">razionalizzazione della disciplina concernente i meccanismi sanzionatori e premiali finalizzati a incentivare la tempestiva esecuzione dei contratti pubblici da parte dell’aggiudicatario </w:t>
      </w:r>
      <w:r w:rsidRPr="00F0105E">
        <w:rPr>
          <w:b/>
          <w:color w:val="000000" w:themeColor="text1"/>
          <w:sz w:val="24"/>
        </w:rPr>
        <w:t>(comma 2, lettera t)</w:t>
      </w:r>
      <w:r w:rsidRPr="00F0105E">
        <w:rPr>
          <w:bCs/>
          <w:color w:val="000000" w:themeColor="text1"/>
          <w:sz w:val="24"/>
        </w:rPr>
        <w:t>;</w:t>
      </w:r>
    </w:p>
    <w:p w14:paraId="7C4ABBC2"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sz w:val="24"/>
        </w:rPr>
      </w:pPr>
      <w:r w:rsidRPr="00C57235">
        <w:rPr>
          <w:rFonts w:ascii="Times New Roman" w:hAnsi="Times New Roman" w:cs="Times New Roman"/>
          <w:bCs/>
          <w:color w:val="000000" w:themeColor="text1"/>
          <w:sz w:val="24"/>
          <w:szCs w:val="24"/>
        </w:rPr>
        <w:t>•</w:t>
      </w:r>
      <w:r w:rsidRPr="00C57235">
        <w:rPr>
          <w:rFonts w:ascii="Times New Roman" w:hAnsi="Times New Roman" w:cs="Times New Roman"/>
          <w:b/>
          <w:color w:val="000000" w:themeColor="text1"/>
          <w:sz w:val="24"/>
          <w:szCs w:val="24"/>
        </w:rPr>
        <w:t xml:space="preserve"> </w:t>
      </w:r>
      <w:r w:rsidRPr="00C57235">
        <w:rPr>
          <w:rFonts w:ascii="Times New Roman" w:hAnsi="Times New Roman" w:cs="Times New Roman"/>
          <w:b/>
          <w:color w:val="000000" w:themeColor="text1"/>
          <w:sz w:val="24"/>
          <w:szCs w:val="24"/>
        </w:rPr>
        <w:tab/>
      </w:r>
      <w:r w:rsidRPr="00C57235">
        <w:rPr>
          <w:rFonts w:ascii="Times New Roman" w:hAnsi="Times New Roman" w:cs="Times New Roman"/>
          <w:bCs/>
          <w:color w:val="000000" w:themeColor="text1"/>
          <w:sz w:val="24"/>
          <w:szCs w:val="24"/>
        </w:rPr>
        <w:t>ridurre al minimo gli oneri amministrativi e burocratici a carico delle stazioni appaltanti e degli opera</w:t>
      </w:r>
      <w:r>
        <w:rPr>
          <w:rFonts w:ascii="Times New Roman" w:hAnsi="Times New Roman" w:cs="Times New Roman"/>
          <w:bCs/>
          <w:color w:val="000000" w:themeColor="text1"/>
          <w:sz w:val="24"/>
          <w:szCs w:val="24"/>
        </w:rPr>
        <w:t>tori economici anche attraverso</w:t>
      </w:r>
      <w:r w:rsidRPr="00C57235">
        <w:rPr>
          <w:rFonts w:ascii="Times New Roman" w:hAnsi="Times New Roman" w:cs="Times New Roman"/>
          <w:bCs/>
          <w:color w:val="000000" w:themeColor="text1"/>
          <w:sz w:val="24"/>
          <w:szCs w:val="24"/>
        </w:rPr>
        <w:t xml:space="preserve"> la semplificazione della disciplina applicabile ai contratti pubblici di importo inferiore alle soglie di rilevanza europea, nel rispetto dei principi di trasparenza e di concorrenzialità </w:t>
      </w:r>
      <w:r w:rsidRPr="00C57235">
        <w:rPr>
          <w:rFonts w:ascii="Times New Roman" w:hAnsi="Times New Roman" w:cs="Times New Roman"/>
          <w:b/>
          <w:color w:val="000000" w:themeColor="text1"/>
          <w:sz w:val="24"/>
          <w:szCs w:val="24"/>
        </w:rPr>
        <w:t>(comma 2, lettera c)</w:t>
      </w:r>
      <w:r w:rsidRPr="00C57235">
        <w:rPr>
          <w:rFonts w:ascii="Times New Roman" w:hAnsi="Times New Roman" w:cs="Times New Roman"/>
          <w:bCs/>
          <w:color w:val="000000" w:themeColor="text1"/>
          <w:sz w:val="24"/>
          <w:szCs w:val="24"/>
        </w:rPr>
        <w:t xml:space="preserve">; </w:t>
      </w:r>
    </w:p>
    <w:p w14:paraId="5A11F192"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cs="Times New Roman"/>
          <w:b/>
          <w:color w:val="000000" w:themeColor="text1"/>
          <w:sz w:val="24"/>
          <w:szCs w:val="24"/>
        </w:rPr>
      </w:pPr>
      <w:r w:rsidRPr="00C57235">
        <w:rPr>
          <w:rFonts w:ascii="Times New Roman" w:hAnsi="Times New Roman" w:cs="Times New Roman"/>
          <w:bCs/>
          <w:color w:val="000000" w:themeColor="text1"/>
          <w:sz w:val="24"/>
          <w:szCs w:val="24"/>
        </w:rPr>
        <w:t>•</w:t>
      </w:r>
      <w:r w:rsidRPr="00C57235">
        <w:rPr>
          <w:rFonts w:ascii="Times New Roman" w:hAnsi="Times New Roman"/>
          <w:sz w:val="24"/>
        </w:rPr>
        <w:t xml:space="preserve"> </w:t>
      </w:r>
      <w:r w:rsidRPr="00C57235">
        <w:rPr>
          <w:rFonts w:ascii="Times New Roman" w:hAnsi="Times New Roman"/>
          <w:sz w:val="24"/>
        </w:rPr>
        <w:tab/>
        <w:t xml:space="preserve">promuovere nel settore dei contratti pubblici </w:t>
      </w:r>
      <w:r w:rsidRPr="00C57235">
        <w:rPr>
          <w:rFonts w:ascii="Times New Roman" w:hAnsi="Times New Roman" w:cs="Times New Roman"/>
          <w:sz w:val="24"/>
        </w:rPr>
        <w:t xml:space="preserve">la stabilità occupazionale del personale impiegato e le pari opportunità generazionali e di genere, nonché garantire, in tutte le fasi, l’applicazione dei contratti collettivi nazionali e territoriali di settore </w:t>
      </w:r>
      <w:r w:rsidRPr="00C57235">
        <w:rPr>
          <w:rFonts w:ascii="Times New Roman" w:hAnsi="Times New Roman" w:cs="Times New Roman"/>
          <w:b/>
          <w:color w:val="000000" w:themeColor="text1"/>
          <w:sz w:val="24"/>
          <w:szCs w:val="24"/>
        </w:rPr>
        <w:t>(comma 2, lettera e)</w:t>
      </w:r>
      <w:r w:rsidRPr="00C57235">
        <w:rPr>
          <w:rFonts w:ascii="Times New Roman" w:hAnsi="Times New Roman" w:cs="Times New Roman"/>
          <w:bCs/>
          <w:color w:val="000000" w:themeColor="text1"/>
          <w:sz w:val="24"/>
          <w:szCs w:val="24"/>
        </w:rPr>
        <w:t>;</w:t>
      </w:r>
    </w:p>
    <w:p w14:paraId="7D6D4939"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cs="Times New Roman"/>
          <w:sz w:val="24"/>
        </w:rPr>
      </w:pPr>
      <w:r w:rsidRPr="00C57235">
        <w:rPr>
          <w:rFonts w:ascii="Times New Roman" w:hAnsi="Times New Roman" w:cs="Times New Roman"/>
          <w:bCs/>
          <w:color w:val="000000" w:themeColor="text1"/>
          <w:sz w:val="24"/>
          <w:szCs w:val="24"/>
        </w:rPr>
        <w:t>•</w:t>
      </w:r>
      <w:r w:rsidRPr="00C57235">
        <w:rPr>
          <w:rFonts w:ascii="Times New Roman" w:hAnsi="Times New Roman" w:cs="Times New Roman"/>
          <w:sz w:val="24"/>
        </w:rPr>
        <w:t xml:space="preserve"> </w:t>
      </w:r>
      <w:r w:rsidRPr="00C57235">
        <w:rPr>
          <w:rFonts w:ascii="Times New Roman" w:hAnsi="Times New Roman" w:cs="Times New Roman"/>
          <w:sz w:val="24"/>
        </w:rPr>
        <w:tab/>
        <w:t>favorire la realizzazione, attraverso procedure massimamente semplificate, di investimenti in tecnologie verdi e digitali, nonché in innovazione e ricerca, anche al fine</w:t>
      </w:r>
      <w:r w:rsidRPr="00C57235">
        <w:rPr>
          <w:rFonts w:ascii="Times New Roman" w:hAnsi="Times New Roman" w:cs="Times New Roman"/>
          <w:sz w:val="24"/>
          <w:szCs w:val="24"/>
        </w:rPr>
        <w:t xml:space="preserve"> </w:t>
      </w:r>
      <w:r w:rsidRPr="00C57235">
        <w:rPr>
          <w:rFonts w:ascii="Times New Roman" w:hAnsi="Times New Roman" w:cs="Times New Roman"/>
          <w:sz w:val="24"/>
        </w:rPr>
        <w:t xml:space="preserve">di conseguire gli obiettivi di sviluppo sostenibile adottati dall’Assemblea generale delle Nazioni Unite il 25 settembre 2015, di incrementare il grado di ecosostenibilità degli investimenti pubblici e delle attività economiche secondo i criteri di cui al Regolamento (UE) 2020/852 del Parlamento europeo e del Consiglio del 18 giugno 2020 </w:t>
      </w:r>
      <w:r w:rsidRPr="00C57235">
        <w:rPr>
          <w:rFonts w:ascii="Times New Roman" w:hAnsi="Times New Roman" w:cs="Times New Roman"/>
          <w:b/>
          <w:color w:val="000000" w:themeColor="text1"/>
          <w:sz w:val="24"/>
          <w:szCs w:val="24"/>
        </w:rPr>
        <w:t>(comma 2, lettera d)</w:t>
      </w:r>
      <w:r w:rsidRPr="00C57235">
        <w:rPr>
          <w:rFonts w:ascii="Times New Roman" w:hAnsi="Times New Roman" w:cs="Times New Roman"/>
          <w:sz w:val="24"/>
        </w:rPr>
        <w:t>;</w:t>
      </w:r>
    </w:p>
    <w:p w14:paraId="649F1215"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cs="Times New Roman"/>
          <w:color w:val="000000" w:themeColor="text1"/>
          <w:sz w:val="24"/>
          <w:szCs w:val="24"/>
        </w:rPr>
      </w:pPr>
      <w:r w:rsidRPr="00C57235">
        <w:rPr>
          <w:rFonts w:ascii="Times New Roman" w:hAnsi="Times New Roman" w:cs="Times New Roman"/>
          <w:bCs/>
          <w:color w:val="000000" w:themeColor="text1"/>
          <w:sz w:val="24"/>
          <w:szCs w:val="24"/>
        </w:rPr>
        <w:t xml:space="preserve">• </w:t>
      </w:r>
      <w:r w:rsidRPr="00C57235">
        <w:rPr>
          <w:rFonts w:ascii="Times New Roman" w:hAnsi="Times New Roman" w:cs="Times New Roman"/>
          <w:bCs/>
          <w:color w:val="000000" w:themeColor="text1"/>
          <w:sz w:val="24"/>
          <w:szCs w:val="24"/>
        </w:rPr>
        <w:tab/>
      </w:r>
      <w:r w:rsidRPr="00C57235">
        <w:rPr>
          <w:rFonts w:ascii="Times New Roman" w:hAnsi="Times New Roman" w:cs="Times New Roman"/>
          <w:color w:val="000000" w:themeColor="text1"/>
          <w:sz w:val="24"/>
          <w:szCs w:val="24"/>
        </w:rPr>
        <w:t xml:space="preserve">razionalizzare, semplificare ed estendere delle forme di partenariato pubblico-privato, con particolare riguardo alla finanza di progetto garantendo la trasparenza e la pubblicità degli atti </w:t>
      </w:r>
      <w:r w:rsidRPr="00C57235">
        <w:rPr>
          <w:rFonts w:ascii="Times New Roman" w:hAnsi="Times New Roman" w:cs="Times New Roman"/>
          <w:b/>
          <w:color w:val="000000" w:themeColor="text1"/>
          <w:sz w:val="24"/>
          <w:szCs w:val="24"/>
        </w:rPr>
        <w:t>(comma 2, lettera n)</w:t>
      </w:r>
      <w:r w:rsidRPr="00C57235">
        <w:rPr>
          <w:rFonts w:ascii="Times New Roman" w:hAnsi="Times New Roman" w:cs="Times New Roman"/>
          <w:color w:val="000000" w:themeColor="text1"/>
          <w:sz w:val="24"/>
          <w:szCs w:val="24"/>
        </w:rPr>
        <w:t>;</w:t>
      </w:r>
    </w:p>
    <w:p w14:paraId="45858B91" w14:textId="77777777" w:rsidR="003A25BF" w:rsidRPr="00C57235" w:rsidRDefault="003A25BF" w:rsidP="003A25BF">
      <w:pPr>
        <w:autoSpaceDE w:val="0"/>
        <w:autoSpaceDN w:val="0"/>
        <w:adjustRightInd w:val="0"/>
        <w:spacing w:after="120" w:line="240" w:lineRule="auto"/>
        <w:ind w:left="360" w:hanging="360"/>
        <w:jc w:val="both"/>
        <w:rPr>
          <w:b/>
          <w:sz w:val="24"/>
        </w:rPr>
      </w:pPr>
      <w:r w:rsidRPr="00C57235">
        <w:rPr>
          <w:rFonts w:ascii="Times New Roman" w:hAnsi="Times New Roman" w:cs="Times New Roman"/>
          <w:bCs/>
          <w:color w:val="000000" w:themeColor="text1"/>
          <w:sz w:val="24"/>
          <w:szCs w:val="24"/>
        </w:rPr>
        <w:t xml:space="preserve">• </w:t>
      </w:r>
      <w:r w:rsidRPr="00C57235">
        <w:rPr>
          <w:rFonts w:ascii="Times New Roman" w:hAnsi="Times New Roman" w:cs="Times New Roman"/>
          <w:bCs/>
          <w:color w:val="000000" w:themeColor="text1"/>
          <w:sz w:val="24"/>
          <w:szCs w:val="24"/>
        </w:rPr>
        <w:tab/>
      </w:r>
      <w:r w:rsidRPr="00C57235">
        <w:rPr>
          <w:rFonts w:ascii="Times New Roman" w:hAnsi="Times New Roman" w:cs="Times New Roman"/>
          <w:color w:val="000000" w:themeColor="text1"/>
          <w:sz w:val="24"/>
          <w:szCs w:val="24"/>
        </w:rPr>
        <w:t xml:space="preserve">promuovere </w:t>
      </w:r>
      <w:r w:rsidRPr="00C57235">
        <w:rPr>
          <w:rFonts w:ascii="Times New Roman" w:hAnsi="Times New Roman"/>
          <w:sz w:val="24"/>
        </w:rPr>
        <w:t xml:space="preserve">l’utilizzo dei metodi di risoluzione delle controversie, alternativi a quelli giurisdizionali, anche nella fase di esecuzione del contratto </w:t>
      </w:r>
      <w:r w:rsidRPr="00C57235">
        <w:rPr>
          <w:rFonts w:ascii="Times New Roman" w:hAnsi="Times New Roman" w:cs="Times New Roman"/>
          <w:b/>
          <w:color w:val="000000" w:themeColor="text1"/>
          <w:sz w:val="24"/>
          <w:szCs w:val="24"/>
        </w:rPr>
        <w:t>(comma 2, lettera u)</w:t>
      </w:r>
      <w:r w:rsidRPr="00C57235">
        <w:rPr>
          <w:b/>
          <w:sz w:val="24"/>
        </w:rPr>
        <w:t>.</w:t>
      </w:r>
    </w:p>
    <w:p w14:paraId="2F480EA5" w14:textId="77777777" w:rsidR="003A25BF" w:rsidRPr="00C57235" w:rsidRDefault="003A25BF" w:rsidP="003A25BF">
      <w:pPr>
        <w:autoSpaceDE w:val="0"/>
        <w:autoSpaceDN w:val="0"/>
        <w:adjustRightInd w:val="0"/>
        <w:spacing w:after="120" w:line="240" w:lineRule="auto"/>
        <w:ind w:left="360" w:hanging="360"/>
        <w:jc w:val="both"/>
        <w:rPr>
          <w:rFonts w:ascii="Times New Roman" w:hAnsi="Times New Roman" w:cs="Times New Roman"/>
          <w:b/>
          <w:color w:val="000000" w:themeColor="text1"/>
          <w:sz w:val="24"/>
          <w:szCs w:val="24"/>
        </w:rPr>
      </w:pPr>
    </w:p>
    <w:p w14:paraId="7A66A907" w14:textId="77777777" w:rsidR="003A25BF" w:rsidRPr="00C57235" w:rsidRDefault="003A25BF" w:rsidP="003A25BF">
      <w:pPr>
        <w:spacing w:after="120" w:line="240" w:lineRule="auto"/>
        <w:jc w:val="both"/>
        <w:rPr>
          <w:rFonts w:ascii="Times New Roman" w:hAnsi="Times New Roman" w:cs="Times New Roman"/>
          <w:color w:val="000000" w:themeColor="text1"/>
          <w:sz w:val="24"/>
          <w:szCs w:val="24"/>
        </w:rPr>
      </w:pPr>
      <w:r w:rsidRPr="00C57235">
        <w:rPr>
          <w:rFonts w:ascii="Times New Roman" w:hAnsi="Times New Roman"/>
          <w:sz w:val="24"/>
          <w:szCs w:val="24"/>
        </w:rPr>
        <w:t xml:space="preserve">Con riferimento ai principi e criteri direttivi di carattere generale da rispettare nell’esercizio della delega, ai fini della semplificazione normativa, il </w:t>
      </w:r>
      <w:r w:rsidRPr="00C57235">
        <w:rPr>
          <w:rFonts w:ascii="Times New Roman" w:hAnsi="Times New Roman"/>
          <w:b/>
          <w:bCs/>
          <w:sz w:val="24"/>
          <w:szCs w:val="24"/>
        </w:rPr>
        <w:t>comma 3</w:t>
      </w:r>
      <w:r w:rsidRPr="00C57235">
        <w:rPr>
          <w:rFonts w:ascii="Times New Roman" w:hAnsi="Times New Roman"/>
          <w:sz w:val="24"/>
          <w:szCs w:val="24"/>
        </w:rPr>
        <w:t xml:space="preserve"> prevede la contestuale </w:t>
      </w:r>
      <w:r w:rsidRPr="00C57235">
        <w:rPr>
          <w:rFonts w:ascii="Times New Roman" w:hAnsi="Times New Roman"/>
          <w:sz w:val="24"/>
          <w:szCs w:val="24"/>
          <w:bdr w:val="none" w:sz="0" w:space="0" w:color="auto" w:frame="1"/>
        </w:rPr>
        <w:t xml:space="preserve">ed esplicita abrogazione </w:t>
      </w:r>
      <w:r w:rsidRPr="00C57235">
        <w:rPr>
          <w:rFonts w:ascii="Times New Roman" w:hAnsi="Times New Roman" w:cs="Times New Roman"/>
          <w:color w:val="000000" w:themeColor="text1"/>
          <w:sz w:val="24"/>
          <w:szCs w:val="24"/>
        </w:rPr>
        <w:t xml:space="preserve">di tutte le disposizioni riordinate o incompatibili con quelle contenute negli adottandi decreti legislativi, inserendo le opportune disposizioni di coordinamento in relazione alle disposizioni non abrogate o non modificate. </w:t>
      </w:r>
    </w:p>
    <w:p w14:paraId="4F6F709F" w14:textId="77777777" w:rsidR="003A25BF" w:rsidRPr="00C57235" w:rsidRDefault="003A25BF" w:rsidP="003A25BF">
      <w:pPr>
        <w:spacing w:after="120" w:line="240" w:lineRule="auto"/>
        <w:jc w:val="both"/>
        <w:rPr>
          <w:rFonts w:ascii="Times New Roman" w:hAnsi="Times New Roman" w:cs="Times New Roman"/>
          <w:color w:val="000000" w:themeColor="text1"/>
          <w:sz w:val="24"/>
          <w:szCs w:val="24"/>
        </w:rPr>
      </w:pPr>
      <w:r w:rsidRPr="00C57235">
        <w:rPr>
          <w:rFonts w:ascii="Times New Roman" w:hAnsi="Times New Roman"/>
          <w:sz w:val="24"/>
          <w:szCs w:val="24"/>
        </w:rPr>
        <w:t xml:space="preserve">Per quanto riguarda il procedimento per l’adozione dei decreti legislativi attuativi della delega in esame, i </w:t>
      </w:r>
      <w:r w:rsidRPr="00C57235">
        <w:rPr>
          <w:rFonts w:ascii="Times New Roman" w:hAnsi="Times New Roman"/>
          <w:b/>
          <w:bCs/>
          <w:sz w:val="24"/>
          <w:szCs w:val="24"/>
        </w:rPr>
        <w:t xml:space="preserve">commi 1 e 4 </w:t>
      </w:r>
      <w:r w:rsidRPr="00C57235">
        <w:rPr>
          <w:rFonts w:ascii="Times New Roman" w:hAnsi="Times New Roman"/>
          <w:sz w:val="24"/>
          <w:szCs w:val="24"/>
        </w:rPr>
        <w:t xml:space="preserve">prevedono che essi sono adottati, entro sei mesi dalla data di entrata in vigore della legge in esame, su proposta del Presidente del Consiglio dei ministri e del Ministro delle infrastrutture e della mobilità sostenibili, previa acquisizione dei pareri della Conferenza Unificata, del Consiglio di Stato e delle Commissioni parlamentari competenti </w:t>
      </w:r>
      <w:r w:rsidRPr="00C57235">
        <w:rPr>
          <w:rFonts w:ascii="Times New Roman" w:hAnsi="Times New Roman"/>
          <w:sz w:val="24"/>
          <w:szCs w:val="24"/>
        </w:rPr>
        <w:lastRenderedPageBreak/>
        <w:t xml:space="preserve">per materia e per i profili finanziari che si pronunciano entro il termine di trenta giorni dalla data di trasmissione. </w:t>
      </w:r>
      <w:r w:rsidRPr="00C57235">
        <w:rPr>
          <w:rFonts w:ascii="Times New Roman" w:hAnsi="Times New Roman" w:cs="Times New Roman"/>
          <w:color w:val="000000" w:themeColor="text1"/>
          <w:sz w:val="24"/>
          <w:szCs w:val="24"/>
        </w:rPr>
        <w:t xml:space="preserve">Decorso tale termine, i decreti possono essere emanati anche senza i </w:t>
      </w:r>
      <w:proofErr w:type="gramStart"/>
      <w:r w:rsidRPr="00C57235">
        <w:rPr>
          <w:rFonts w:ascii="Times New Roman" w:hAnsi="Times New Roman" w:cs="Times New Roman"/>
          <w:color w:val="000000" w:themeColor="text1"/>
          <w:sz w:val="24"/>
          <w:szCs w:val="24"/>
        </w:rPr>
        <w:t>predetti</w:t>
      </w:r>
      <w:proofErr w:type="gramEnd"/>
      <w:r w:rsidRPr="00C57235">
        <w:rPr>
          <w:rFonts w:ascii="Times New Roman" w:hAnsi="Times New Roman" w:cs="Times New Roman"/>
          <w:color w:val="000000" w:themeColor="text1"/>
          <w:sz w:val="24"/>
          <w:szCs w:val="24"/>
        </w:rPr>
        <w:t xml:space="preserve"> pareri. Il Governo, nell'attuazione della delega, può altresì avvalersi della facoltà di cui all'articolo 14,  numero  2°, del testo unico delle leggi sul Consiglio di Stato, di cui al  regio  decreto  26 giugno 1924, n. 1054, il Consiglio di Stato può utilizzare, al  fine della stesura  dell'articolato  normativo,  magistrati di tribunale amministrativo regionale, esperti esterni e rappresentanti del libero foro e dell'Avvocatura generale dello  Stato,  i  quali  prestano  la propria attività a titolo gratuito e senza diritto al rimborso delle spese. Sugli schemi redatti dal Consiglio di Stato non è acquisito il parere dello stesso. </w:t>
      </w:r>
    </w:p>
    <w:p w14:paraId="01406001" w14:textId="77777777" w:rsidR="003A25BF" w:rsidRPr="00C57235" w:rsidRDefault="003A25BF" w:rsidP="003A25BF">
      <w:pPr>
        <w:spacing w:after="120" w:line="240" w:lineRule="auto"/>
        <w:jc w:val="both"/>
        <w:rPr>
          <w:rFonts w:ascii="Times New Roman" w:hAnsi="Times New Roman" w:cs="Times New Roman"/>
          <w:color w:val="000000" w:themeColor="text1"/>
          <w:sz w:val="24"/>
          <w:szCs w:val="24"/>
        </w:rPr>
      </w:pPr>
      <w:r w:rsidRPr="00C57235">
        <w:rPr>
          <w:rFonts w:ascii="Times New Roman" w:hAnsi="Times New Roman" w:cs="Times New Roman"/>
          <w:color w:val="000000" w:themeColor="text1"/>
          <w:sz w:val="24"/>
          <w:szCs w:val="24"/>
        </w:rPr>
        <w:t xml:space="preserve">Il medesimo </w:t>
      </w:r>
      <w:r w:rsidRPr="00C57235">
        <w:rPr>
          <w:rFonts w:ascii="Times New Roman" w:hAnsi="Times New Roman" w:cs="Times New Roman"/>
          <w:b/>
          <w:bCs/>
          <w:color w:val="000000" w:themeColor="text1"/>
          <w:sz w:val="24"/>
          <w:szCs w:val="24"/>
        </w:rPr>
        <w:t>comma 4</w:t>
      </w:r>
      <w:r w:rsidRPr="00C57235">
        <w:rPr>
          <w:rFonts w:ascii="Times New Roman" w:hAnsi="Times New Roman" w:cs="Times New Roman"/>
          <w:color w:val="000000" w:themeColor="text1"/>
          <w:sz w:val="24"/>
          <w:szCs w:val="24"/>
        </w:rPr>
        <w:t xml:space="preserve"> autorizza l’emanazione di decreti correttivi o integrativi entro due anni dalla data di entrata in vigore dei decreti legislativi, nel rispetto degli stessi criteri direttivi e della medesima procedura. </w:t>
      </w:r>
    </w:p>
    <w:p w14:paraId="1DAFAA7B" w14:textId="77777777" w:rsidR="003A25BF" w:rsidRDefault="003A25BF" w:rsidP="003A25BF">
      <w:pPr>
        <w:spacing w:after="120" w:line="240" w:lineRule="auto"/>
        <w:jc w:val="both"/>
        <w:rPr>
          <w:rFonts w:ascii="Times New Roman" w:hAnsi="Times New Roman" w:cs="Times New Roman"/>
          <w:color w:val="000000" w:themeColor="text1"/>
          <w:sz w:val="24"/>
          <w:szCs w:val="24"/>
        </w:rPr>
      </w:pPr>
      <w:r w:rsidRPr="00C57235">
        <w:rPr>
          <w:rFonts w:ascii="Times New Roman" w:hAnsi="Times New Roman" w:cs="Times New Roman"/>
          <w:color w:val="000000" w:themeColor="text1"/>
          <w:sz w:val="24"/>
          <w:szCs w:val="24"/>
        </w:rPr>
        <w:t xml:space="preserve">Il </w:t>
      </w:r>
      <w:r w:rsidRPr="00C57235">
        <w:rPr>
          <w:rFonts w:ascii="Times New Roman" w:hAnsi="Times New Roman" w:cs="Times New Roman"/>
          <w:b/>
          <w:bCs/>
          <w:color w:val="000000" w:themeColor="text1"/>
          <w:sz w:val="24"/>
          <w:szCs w:val="24"/>
        </w:rPr>
        <w:t>comma 5</w:t>
      </w:r>
      <w:r w:rsidRPr="00C57235">
        <w:rPr>
          <w:rFonts w:ascii="Times New Roman" w:hAnsi="Times New Roman" w:cs="Times New Roman"/>
          <w:color w:val="000000" w:themeColor="text1"/>
          <w:sz w:val="24"/>
          <w:szCs w:val="24"/>
        </w:rPr>
        <w:t xml:space="preserve"> reca la clausola di invarianza finanziaria.</w:t>
      </w:r>
    </w:p>
    <w:p w14:paraId="772BF94A" w14:textId="77777777" w:rsidR="003A25BF" w:rsidRDefault="003A25BF" w:rsidP="003A25BF">
      <w:pPr>
        <w:spacing w:after="0" w:line="240" w:lineRule="auto"/>
        <w:contextualSpacing/>
        <w:jc w:val="both"/>
        <w:rPr>
          <w:rFonts w:ascii="Times New Roman" w:hAnsi="Times New Roman" w:cs="Times New Roman"/>
          <w:color w:val="000000" w:themeColor="text1"/>
          <w:sz w:val="24"/>
          <w:szCs w:val="24"/>
        </w:rPr>
      </w:pPr>
    </w:p>
    <w:p w14:paraId="6D077198" w14:textId="77777777" w:rsidR="003A25BF" w:rsidRPr="00F4387A" w:rsidRDefault="003A25BF" w:rsidP="003A25BF">
      <w:pPr>
        <w:spacing w:after="120" w:line="240" w:lineRule="auto"/>
        <w:jc w:val="both"/>
        <w:rPr>
          <w:rFonts w:ascii="Times New Roman" w:hAnsi="Times New Roman" w:cs="Times New Roman"/>
          <w:sz w:val="24"/>
          <w:szCs w:val="24"/>
        </w:rPr>
      </w:pPr>
    </w:p>
    <w:p w14:paraId="0DC77DC6" w14:textId="77777777" w:rsidR="00F10E03" w:rsidRDefault="00F10E03" w:rsidP="00F10E03">
      <w:pPr>
        <w:spacing w:after="0" w:line="240" w:lineRule="auto"/>
        <w:contextualSpacing/>
        <w:jc w:val="center"/>
        <w:rPr>
          <w:rFonts w:ascii="Times New Roman" w:hAnsi="Times New Roman" w:cs="Times New Roman"/>
          <w:b/>
          <w:sz w:val="24"/>
          <w:szCs w:val="24"/>
        </w:rPr>
      </w:pPr>
      <w:r w:rsidRPr="00A50F8C">
        <w:rPr>
          <w:rFonts w:ascii="Times New Roman" w:hAnsi="Times New Roman" w:cs="Times New Roman"/>
          <w:b/>
          <w:sz w:val="24"/>
          <w:szCs w:val="24"/>
        </w:rPr>
        <w:t xml:space="preserve">RELAZIONE </w:t>
      </w:r>
      <w:r>
        <w:rPr>
          <w:rFonts w:ascii="Times New Roman" w:hAnsi="Times New Roman" w:cs="Times New Roman"/>
          <w:b/>
          <w:sz w:val="24"/>
          <w:szCs w:val="24"/>
        </w:rPr>
        <w:t>TECNICA</w:t>
      </w:r>
    </w:p>
    <w:p w14:paraId="3930C5A2" w14:textId="77777777" w:rsidR="00F10E03" w:rsidRDefault="00F10E03" w:rsidP="00F10E03">
      <w:pPr>
        <w:spacing w:after="0" w:line="240" w:lineRule="auto"/>
        <w:contextualSpacing/>
        <w:jc w:val="center"/>
        <w:rPr>
          <w:rFonts w:ascii="Times New Roman" w:hAnsi="Times New Roman" w:cs="Times New Roman"/>
          <w:b/>
          <w:sz w:val="24"/>
          <w:szCs w:val="24"/>
        </w:rPr>
      </w:pPr>
    </w:p>
    <w:p w14:paraId="1F1AB43E" w14:textId="77777777" w:rsidR="00F10E03" w:rsidRDefault="00F10E03" w:rsidP="00F10E03">
      <w:pPr>
        <w:spacing w:after="0" w:line="240" w:lineRule="auto"/>
        <w:contextualSpacing/>
        <w:jc w:val="center"/>
        <w:rPr>
          <w:rFonts w:ascii="Times New Roman" w:hAnsi="Times New Roman" w:cs="Times New Roman"/>
          <w:b/>
          <w:color w:val="000000" w:themeColor="text1"/>
          <w:sz w:val="24"/>
          <w:szCs w:val="24"/>
        </w:rPr>
      </w:pPr>
      <w:r w:rsidRPr="00D35D9C">
        <w:rPr>
          <w:rFonts w:ascii="Times New Roman" w:hAnsi="Times New Roman" w:cs="Times New Roman"/>
          <w:b/>
          <w:color w:val="000000" w:themeColor="text1"/>
          <w:sz w:val="24"/>
          <w:szCs w:val="24"/>
        </w:rPr>
        <w:t>A</w:t>
      </w:r>
      <w:r>
        <w:rPr>
          <w:rFonts w:ascii="Times New Roman" w:hAnsi="Times New Roman" w:cs="Times New Roman"/>
          <w:b/>
          <w:color w:val="000000" w:themeColor="text1"/>
          <w:sz w:val="24"/>
          <w:szCs w:val="24"/>
        </w:rPr>
        <w:t>RT</w:t>
      </w:r>
      <w:r w:rsidRPr="00D35D9C">
        <w:rPr>
          <w:rFonts w:ascii="Times New Roman" w:hAnsi="Times New Roman" w:cs="Times New Roman"/>
          <w:b/>
          <w:color w:val="000000" w:themeColor="text1"/>
          <w:sz w:val="24"/>
          <w:szCs w:val="24"/>
        </w:rPr>
        <w:t>. 1</w:t>
      </w:r>
    </w:p>
    <w:p w14:paraId="5E816093" w14:textId="77777777" w:rsidR="00F10E03" w:rsidRPr="00A50F8C" w:rsidRDefault="00F10E03" w:rsidP="00F10E03">
      <w:pPr>
        <w:spacing w:after="0" w:line="240" w:lineRule="auto"/>
        <w:contextualSpacing/>
        <w:jc w:val="center"/>
        <w:rPr>
          <w:rFonts w:ascii="Times New Roman" w:hAnsi="Times New Roman" w:cs="Times New Roman"/>
          <w:b/>
          <w:sz w:val="24"/>
          <w:szCs w:val="24"/>
        </w:rPr>
      </w:pPr>
      <w:r>
        <w:rPr>
          <w:rFonts w:ascii="Times New Roman" w:hAnsi="Times New Roman" w:cs="Times New Roman"/>
          <w:b/>
          <w:color w:val="000000" w:themeColor="text1"/>
          <w:sz w:val="24"/>
          <w:szCs w:val="24"/>
        </w:rPr>
        <w:t>(D</w:t>
      </w:r>
      <w:r w:rsidRPr="00A35A55">
        <w:rPr>
          <w:rFonts w:ascii="Times New Roman" w:hAnsi="Times New Roman" w:cs="Times New Roman"/>
          <w:b/>
          <w:color w:val="000000" w:themeColor="text1"/>
          <w:sz w:val="24"/>
          <w:szCs w:val="24"/>
        </w:rPr>
        <w:t xml:space="preserve">elega al </w:t>
      </w:r>
      <w:r>
        <w:rPr>
          <w:rFonts w:ascii="Times New Roman" w:hAnsi="Times New Roman" w:cs="Times New Roman"/>
          <w:b/>
          <w:color w:val="000000" w:themeColor="text1"/>
          <w:sz w:val="24"/>
          <w:szCs w:val="24"/>
        </w:rPr>
        <w:t>G</w:t>
      </w:r>
      <w:r w:rsidRPr="00A35A55">
        <w:rPr>
          <w:rFonts w:ascii="Times New Roman" w:hAnsi="Times New Roman" w:cs="Times New Roman"/>
          <w:b/>
          <w:color w:val="000000" w:themeColor="text1"/>
          <w:sz w:val="24"/>
          <w:szCs w:val="24"/>
        </w:rPr>
        <w:t>overno in materia di contratti pubblici</w:t>
      </w:r>
      <w:r>
        <w:rPr>
          <w:rFonts w:ascii="Times New Roman" w:hAnsi="Times New Roman" w:cs="Times New Roman"/>
          <w:b/>
          <w:color w:val="000000" w:themeColor="text1"/>
          <w:sz w:val="24"/>
          <w:szCs w:val="24"/>
        </w:rPr>
        <w:t>)</w:t>
      </w:r>
    </w:p>
    <w:p w14:paraId="2462CE22" w14:textId="77777777" w:rsidR="00F10E03" w:rsidRPr="00F4387A" w:rsidRDefault="00F10E03" w:rsidP="00F10E03">
      <w:pPr>
        <w:spacing w:after="0" w:line="240" w:lineRule="auto"/>
        <w:contextualSpacing/>
        <w:jc w:val="both"/>
        <w:rPr>
          <w:rFonts w:ascii="Times New Roman" w:hAnsi="Times New Roman" w:cs="Times New Roman"/>
          <w:b/>
          <w:sz w:val="24"/>
          <w:szCs w:val="24"/>
        </w:rPr>
      </w:pPr>
    </w:p>
    <w:p w14:paraId="7D8AA2F3" w14:textId="77777777" w:rsidR="00F10E03" w:rsidRDefault="00F10E03" w:rsidP="00F10E03">
      <w:pPr>
        <w:spacing w:after="0" w:line="240" w:lineRule="auto"/>
        <w:contextualSpacing/>
        <w:jc w:val="both"/>
        <w:rPr>
          <w:rFonts w:ascii="Times New Roman" w:hAnsi="Times New Roman" w:cs="Times New Roman"/>
          <w:bCs/>
          <w:color w:val="000000" w:themeColor="text1"/>
          <w:sz w:val="24"/>
          <w:szCs w:val="24"/>
        </w:rPr>
      </w:pPr>
    </w:p>
    <w:p w14:paraId="4A9A31BF" w14:textId="77777777" w:rsidR="00F10E03" w:rsidRDefault="00F10E03" w:rsidP="00F10E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Le disposizioni previste dall’articolo 1 sono prioritariamente finalizzate a </w:t>
      </w:r>
      <w:r w:rsidRPr="005C64B8">
        <w:rPr>
          <w:rFonts w:ascii="Times New Roman" w:hAnsi="Times New Roman" w:cs="Times New Roman"/>
          <w:bCs/>
          <w:color w:val="000000" w:themeColor="text1"/>
          <w:sz w:val="24"/>
          <w:szCs w:val="24"/>
        </w:rPr>
        <w:t>razionalizzare, riordinare e semplificare la disciplina vigente in materia di contratti pubblici relativi a lavori, servizi e forniture</w:t>
      </w:r>
      <w:r>
        <w:rPr>
          <w:rFonts w:ascii="Times New Roman" w:hAnsi="Times New Roman" w:cs="Times New Roman"/>
          <w:bCs/>
          <w:color w:val="000000" w:themeColor="text1"/>
          <w:sz w:val="24"/>
          <w:szCs w:val="24"/>
        </w:rPr>
        <w:t>, nell’ottica di condurre ad una riscrittura dell’attuale codice dei contratti pubblici. A tal fine si prevede una delega al</w:t>
      </w:r>
      <w:r w:rsidRPr="00865E14">
        <w:rPr>
          <w:rFonts w:ascii="Times New Roman" w:hAnsi="Times New Roman" w:cs="Times New Roman"/>
          <w:bCs/>
          <w:color w:val="000000" w:themeColor="text1"/>
          <w:sz w:val="24"/>
          <w:szCs w:val="24"/>
        </w:rPr>
        <w:t xml:space="preserve"> Governo </w:t>
      </w:r>
      <w:r>
        <w:rPr>
          <w:rFonts w:ascii="Times New Roman" w:hAnsi="Times New Roman" w:cs="Times New Roman"/>
          <w:bCs/>
          <w:color w:val="000000" w:themeColor="text1"/>
          <w:sz w:val="24"/>
          <w:szCs w:val="24"/>
        </w:rPr>
        <w:t>per</w:t>
      </w:r>
      <w:r w:rsidRPr="00865E14">
        <w:rPr>
          <w:rFonts w:ascii="Times New Roman" w:hAnsi="Times New Roman" w:cs="Times New Roman"/>
          <w:bCs/>
          <w:color w:val="000000" w:themeColor="text1"/>
          <w:sz w:val="24"/>
          <w:szCs w:val="24"/>
        </w:rPr>
        <w:t xml:space="preserve"> adottare, entro sei mesi dalla data di entrata in vigore della legge</w:t>
      </w:r>
      <w:r>
        <w:rPr>
          <w:rFonts w:ascii="Times New Roman" w:hAnsi="Times New Roman" w:cs="Times New Roman"/>
          <w:bCs/>
          <w:color w:val="000000" w:themeColor="text1"/>
          <w:sz w:val="24"/>
          <w:szCs w:val="24"/>
        </w:rPr>
        <w:t xml:space="preserve"> in esame</w:t>
      </w:r>
      <w:r w:rsidRPr="00865E14">
        <w:rPr>
          <w:rFonts w:ascii="Times New Roman" w:hAnsi="Times New Roman" w:cs="Times New Roman"/>
          <w:bCs/>
          <w:color w:val="000000" w:themeColor="text1"/>
          <w:sz w:val="24"/>
          <w:szCs w:val="24"/>
        </w:rPr>
        <w:t>, uno o più decreti legislativi recanti la disciplina dei contratti pubblici, anche al fine di adeguare la normativa interna al diritto europeo e di razionalizzare, riordinare e semplificare la disciplina vigente in materia di contratti pubblici relativi a lavori, servizi e forniture</w:t>
      </w:r>
      <w:r w:rsidRPr="005C64B8">
        <w:rPr>
          <w:rFonts w:ascii="Times New Roman" w:hAnsi="Times New Roman" w:cs="Times New Roman"/>
          <w:bCs/>
          <w:color w:val="000000" w:themeColor="text1"/>
          <w:sz w:val="24"/>
          <w:szCs w:val="24"/>
        </w:rPr>
        <w:t>.</w:t>
      </w:r>
    </w:p>
    <w:p w14:paraId="187354C4" w14:textId="77777777" w:rsidR="00F10E03" w:rsidRDefault="00F10E03" w:rsidP="00F10E03">
      <w:pPr>
        <w:spacing w:after="0" w:line="240" w:lineRule="auto"/>
        <w:contextualSpacing/>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L’articolo detta, inoltre, i principi e i criteri direttivi che il Governo deve rispettare per adottare i </w:t>
      </w:r>
      <w:proofErr w:type="gramStart"/>
      <w:r>
        <w:rPr>
          <w:rFonts w:ascii="Times New Roman" w:hAnsi="Times New Roman" w:cs="Times New Roman"/>
          <w:bCs/>
          <w:color w:val="000000" w:themeColor="text1"/>
          <w:sz w:val="24"/>
          <w:szCs w:val="24"/>
        </w:rPr>
        <w:t>predetti</w:t>
      </w:r>
      <w:proofErr w:type="gramEnd"/>
      <w:r>
        <w:rPr>
          <w:rFonts w:ascii="Times New Roman" w:hAnsi="Times New Roman" w:cs="Times New Roman"/>
          <w:bCs/>
          <w:color w:val="000000" w:themeColor="text1"/>
          <w:sz w:val="24"/>
          <w:szCs w:val="24"/>
        </w:rPr>
        <w:t xml:space="preserve"> decreti legislativi. Le disposizioni, come precisato nel comma 5, non determinano nuovi o maggiori oneri a carico della finanza pubblica. Per quanto concerne i decreti legislativi si prevede espressamente al comma 2 che essi</w:t>
      </w:r>
      <w:r w:rsidRPr="00865E14">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devono essere adottati</w:t>
      </w:r>
      <w:r w:rsidRPr="00865E14">
        <w:rPr>
          <w:rFonts w:ascii="Times New Roman" w:hAnsi="Times New Roman" w:cs="Times New Roman"/>
          <w:bCs/>
          <w:color w:val="000000" w:themeColor="text1"/>
          <w:sz w:val="24"/>
          <w:szCs w:val="24"/>
        </w:rPr>
        <w:t xml:space="preserve"> senza nuovi o maggiori oneri per la finanza pubblica</w:t>
      </w:r>
      <w:r>
        <w:rPr>
          <w:rFonts w:ascii="Times New Roman" w:hAnsi="Times New Roman" w:cs="Times New Roman"/>
          <w:bCs/>
          <w:color w:val="000000" w:themeColor="text1"/>
          <w:sz w:val="24"/>
          <w:szCs w:val="24"/>
        </w:rPr>
        <w:t>.</w:t>
      </w:r>
    </w:p>
    <w:p w14:paraId="1B8797A8" w14:textId="77777777" w:rsidR="00F10E03" w:rsidRDefault="00F10E03" w:rsidP="00F10E03">
      <w:pPr>
        <w:spacing w:after="0" w:line="240" w:lineRule="auto"/>
        <w:contextualSpacing/>
        <w:jc w:val="both"/>
        <w:rPr>
          <w:rFonts w:ascii="Times New Roman" w:hAnsi="Times New Roman" w:cs="Times New Roman"/>
          <w:bCs/>
          <w:color w:val="000000" w:themeColor="text1"/>
          <w:sz w:val="24"/>
          <w:szCs w:val="24"/>
        </w:rPr>
      </w:pPr>
    </w:p>
    <w:p w14:paraId="1571C52B" w14:textId="77777777" w:rsidR="003A25BF" w:rsidRDefault="003A25BF"/>
    <w:sectPr w:rsidR="003A25BF" w:rsidSect="001A73A7">
      <w:headerReference w:type="even" r:id="rId8"/>
      <w:headerReference w:type="default" r:id="rId9"/>
      <w:footerReference w:type="even" r:id="rId10"/>
      <w:footerReference w:type="default" r:id="rId11"/>
      <w:headerReference w:type="first" r:id="rId12"/>
      <w:footerReference w:type="first" r:id="rId13"/>
      <w:pgSz w:w="11900"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4E86" w14:textId="77777777" w:rsidR="00F10E03" w:rsidRDefault="00F10E03" w:rsidP="00F10E03">
      <w:pPr>
        <w:spacing w:after="0" w:line="240" w:lineRule="auto"/>
      </w:pPr>
      <w:r>
        <w:separator/>
      </w:r>
    </w:p>
  </w:endnote>
  <w:endnote w:type="continuationSeparator" w:id="0">
    <w:p w14:paraId="5D56887E" w14:textId="77777777" w:rsidR="00F10E03" w:rsidRDefault="00F10E03" w:rsidP="00F10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65624" w14:textId="77777777" w:rsidR="00F10E03" w:rsidRDefault="00F10E0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70218"/>
      <w:docPartObj>
        <w:docPartGallery w:val="Page Numbers (Bottom of Page)"/>
        <w:docPartUnique/>
      </w:docPartObj>
    </w:sdtPr>
    <w:sdtContent>
      <w:p w14:paraId="17A702D4" w14:textId="745AF348" w:rsidR="00F10E03" w:rsidRDefault="00F10E03">
        <w:pPr>
          <w:pStyle w:val="Pidipagina"/>
          <w:jc w:val="right"/>
        </w:pPr>
        <w:r>
          <w:fldChar w:fldCharType="begin"/>
        </w:r>
        <w:r>
          <w:instrText>PAGE   \* MERGEFORMAT</w:instrText>
        </w:r>
        <w:r>
          <w:fldChar w:fldCharType="separate"/>
        </w:r>
        <w:r>
          <w:t>2</w:t>
        </w:r>
        <w:r>
          <w:fldChar w:fldCharType="end"/>
        </w:r>
      </w:p>
    </w:sdtContent>
  </w:sdt>
  <w:p w14:paraId="6113E141" w14:textId="77777777" w:rsidR="00F10E03" w:rsidRDefault="00F10E0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B2B40" w14:textId="77777777" w:rsidR="00F10E03" w:rsidRDefault="00F10E0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1A151" w14:textId="77777777" w:rsidR="00F10E03" w:rsidRDefault="00F10E03" w:rsidP="00F10E03">
      <w:pPr>
        <w:spacing w:after="0" w:line="240" w:lineRule="auto"/>
      </w:pPr>
      <w:r>
        <w:separator/>
      </w:r>
    </w:p>
  </w:footnote>
  <w:footnote w:type="continuationSeparator" w:id="0">
    <w:p w14:paraId="5A379B3D" w14:textId="77777777" w:rsidR="00F10E03" w:rsidRDefault="00F10E03" w:rsidP="00F10E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E3D58" w14:textId="77777777" w:rsidR="00F10E03" w:rsidRDefault="00F10E0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71275" w14:textId="77777777" w:rsidR="00F10E03" w:rsidRDefault="00F10E03">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33337" w14:textId="77777777" w:rsidR="00F10E03" w:rsidRDefault="00F10E0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86C12"/>
    <w:multiLevelType w:val="hybridMultilevel"/>
    <w:tmpl w:val="6A42BD96"/>
    <w:lvl w:ilvl="0" w:tplc="15D01F60">
      <w:start w:val="1"/>
      <w:numFmt w:val="lowerLetter"/>
      <w:lvlText w:val="%1)"/>
      <w:lvlJc w:val="left"/>
      <w:pPr>
        <w:ind w:left="108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95F4E40"/>
    <w:multiLevelType w:val="hybridMultilevel"/>
    <w:tmpl w:val="1AD6E34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3B4221AD"/>
    <w:multiLevelType w:val="hybridMultilevel"/>
    <w:tmpl w:val="4910716E"/>
    <w:lvl w:ilvl="0" w:tplc="C66E12BE">
      <w:start w:val="12"/>
      <w:numFmt w:val="lowerLetter"/>
      <w:lvlText w:val="%1)"/>
      <w:lvlJc w:val="left"/>
      <w:pPr>
        <w:ind w:left="108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684F9F"/>
    <w:multiLevelType w:val="hybridMultilevel"/>
    <w:tmpl w:val="A9C8E11A"/>
    <w:lvl w:ilvl="0" w:tplc="C92407EE">
      <w:start w:val="26"/>
      <w:numFmt w:val="lowerLetter"/>
      <w:lvlText w:val="%1)"/>
      <w:lvlJc w:val="left"/>
      <w:pPr>
        <w:ind w:left="108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07A1637"/>
    <w:multiLevelType w:val="hybridMultilevel"/>
    <w:tmpl w:val="6A42BD96"/>
    <w:lvl w:ilvl="0" w:tplc="15D01F60">
      <w:start w:val="1"/>
      <w:numFmt w:val="lowerLetter"/>
      <w:lvlText w:val="%1)"/>
      <w:lvlJc w:val="left"/>
      <w:pPr>
        <w:ind w:left="1080" w:hanging="360"/>
      </w:pPr>
      <w:rPr>
        <w:rFonts w:hint="default"/>
        <w:sz w:val="24"/>
        <w:szCs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5D6E7EA2"/>
    <w:multiLevelType w:val="hybridMultilevel"/>
    <w:tmpl w:val="CF185BBC"/>
    <w:lvl w:ilvl="0" w:tplc="8214AEB4">
      <w:start w:val="26"/>
      <w:numFmt w:val="lowerLetter"/>
      <w:lvlText w:val="%1)"/>
      <w:lvlJc w:val="left"/>
      <w:pPr>
        <w:ind w:left="1080" w:hanging="360"/>
      </w:pPr>
      <w:rPr>
        <w:rFonts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E301E7E"/>
    <w:multiLevelType w:val="hybridMultilevel"/>
    <w:tmpl w:val="03F4FC98"/>
    <w:lvl w:ilvl="0" w:tplc="17602A94">
      <w:start w:val="12"/>
      <w:numFmt w:val="lowerLetter"/>
      <w:lvlText w:val="%1)"/>
      <w:lvlJc w:val="left"/>
      <w:pPr>
        <w:ind w:left="1440" w:hanging="360"/>
      </w:pPr>
      <w:rPr>
        <w:rFonts w:hint="default"/>
        <w:color w:val="auto"/>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70C75F37"/>
    <w:multiLevelType w:val="hybridMultilevel"/>
    <w:tmpl w:val="4D2C26B2"/>
    <w:lvl w:ilvl="0" w:tplc="D85030D6">
      <w:start w:val="5"/>
      <w:numFmt w:val="lowerLetter"/>
      <w:lvlText w:val="%1)"/>
      <w:lvlJc w:val="left"/>
      <w:pPr>
        <w:ind w:left="1080" w:hanging="36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4"/>
  </w:num>
  <w:num w:numId="5">
    <w:abstractNumId w:val="2"/>
  </w:num>
  <w:num w:numId="6">
    <w:abstractNumId w:val="5"/>
  </w:num>
  <w:num w:numId="7">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231E"/>
    <w:rsid w:val="000467F2"/>
    <w:rsid w:val="000E5DA2"/>
    <w:rsid w:val="000F3854"/>
    <w:rsid w:val="000F6FC5"/>
    <w:rsid w:val="00141BCC"/>
    <w:rsid w:val="00157D8F"/>
    <w:rsid w:val="00163D90"/>
    <w:rsid w:val="001930CF"/>
    <w:rsid w:val="001A73A7"/>
    <w:rsid w:val="001C6DC5"/>
    <w:rsid w:val="001D678F"/>
    <w:rsid w:val="00222E7B"/>
    <w:rsid w:val="00227FAC"/>
    <w:rsid w:val="002606C4"/>
    <w:rsid w:val="002B2208"/>
    <w:rsid w:val="002B26CB"/>
    <w:rsid w:val="002C217E"/>
    <w:rsid w:val="002D1D22"/>
    <w:rsid w:val="002F231E"/>
    <w:rsid w:val="00377E4C"/>
    <w:rsid w:val="003A25BF"/>
    <w:rsid w:val="003C6ECB"/>
    <w:rsid w:val="003F35A7"/>
    <w:rsid w:val="00424B73"/>
    <w:rsid w:val="00457080"/>
    <w:rsid w:val="0047616E"/>
    <w:rsid w:val="004A05BD"/>
    <w:rsid w:val="004C2109"/>
    <w:rsid w:val="004D779C"/>
    <w:rsid w:val="005B25EF"/>
    <w:rsid w:val="005D7661"/>
    <w:rsid w:val="005E65E5"/>
    <w:rsid w:val="005F7DE8"/>
    <w:rsid w:val="0064026A"/>
    <w:rsid w:val="006F5B65"/>
    <w:rsid w:val="006F6292"/>
    <w:rsid w:val="0073627E"/>
    <w:rsid w:val="00767AD7"/>
    <w:rsid w:val="00770999"/>
    <w:rsid w:val="00793089"/>
    <w:rsid w:val="00856665"/>
    <w:rsid w:val="00896600"/>
    <w:rsid w:val="008A2250"/>
    <w:rsid w:val="008B1A99"/>
    <w:rsid w:val="008D04BD"/>
    <w:rsid w:val="008D7E96"/>
    <w:rsid w:val="00933883"/>
    <w:rsid w:val="00953CE2"/>
    <w:rsid w:val="009C7325"/>
    <w:rsid w:val="009D16F4"/>
    <w:rsid w:val="009D4F90"/>
    <w:rsid w:val="009E7684"/>
    <w:rsid w:val="00A35A55"/>
    <w:rsid w:val="00A56297"/>
    <w:rsid w:val="00AC0D09"/>
    <w:rsid w:val="00AC2CF0"/>
    <w:rsid w:val="00AD73DC"/>
    <w:rsid w:val="00AF6B07"/>
    <w:rsid w:val="00B17735"/>
    <w:rsid w:val="00B5252E"/>
    <w:rsid w:val="00B64BB6"/>
    <w:rsid w:val="00C13705"/>
    <w:rsid w:val="00C17E36"/>
    <w:rsid w:val="00C236A3"/>
    <w:rsid w:val="00C30EEA"/>
    <w:rsid w:val="00C55999"/>
    <w:rsid w:val="00C56E56"/>
    <w:rsid w:val="00C57DD8"/>
    <w:rsid w:val="00C72AFC"/>
    <w:rsid w:val="00DF0B5E"/>
    <w:rsid w:val="00E44BE9"/>
    <w:rsid w:val="00ED6CAA"/>
    <w:rsid w:val="00EE4256"/>
    <w:rsid w:val="00EF6BAC"/>
    <w:rsid w:val="00F10E03"/>
    <w:rsid w:val="00F16D06"/>
    <w:rsid w:val="00F64387"/>
    <w:rsid w:val="00FC56C3"/>
    <w:rsid w:val="00FE04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085ED"/>
  <w15:docId w15:val="{27D482E1-58B2-48FD-9943-2A00A8143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23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F231E"/>
    <w:pPr>
      <w:spacing w:after="0" w:line="360" w:lineRule="atLeast"/>
      <w:ind w:left="720"/>
      <w:contextualSpacing/>
      <w:jc w:val="both"/>
    </w:pPr>
    <w:rPr>
      <w:rFonts w:ascii="Times New Roman" w:eastAsia="Times New Roman" w:hAnsi="Times New Roman" w:cs="Times New Roman"/>
      <w:sz w:val="28"/>
      <w:szCs w:val="24"/>
      <w:lang w:eastAsia="it-IT"/>
    </w:rPr>
  </w:style>
  <w:style w:type="paragraph" w:styleId="Testofumetto">
    <w:name w:val="Balloon Text"/>
    <w:basedOn w:val="Normale"/>
    <w:link w:val="TestofumettoCarattere"/>
    <w:uiPriority w:val="99"/>
    <w:semiHidden/>
    <w:unhideWhenUsed/>
    <w:rsid w:val="008D04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04BD"/>
    <w:rPr>
      <w:rFonts w:ascii="Segoe UI" w:hAnsi="Segoe UI" w:cs="Segoe UI"/>
      <w:sz w:val="18"/>
      <w:szCs w:val="18"/>
    </w:rPr>
  </w:style>
  <w:style w:type="character" w:styleId="Rimandocommento">
    <w:name w:val="annotation reference"/>
    <w:basedOn w:val="Carpredefinitoparagrafo"/>
    <w:uiPriority w:val="99"/>
    <w:semiHidden/>
    <w:unhideWhenUsed/>
    <w:rsid w:val="002606C4"/>
    <w:rPr>
      <w:sz w:val="16"/>
      <w:szCs w:val="16"/>
    </w:rPr>
  </w:style>
  <w:style w:type="paragraph" w:styleId="Testocommento">
    <w:name w:val="annotation text"/>
    <w:basedOn w:val="Normale"/>
    <w:link w:val="TestocommentoCarattere"/>
    <w:uiPriority w:val="99"/>
    <w:semiHidden/>
    <w:unhideWhenUsed/>
    <w:rsid w:val="002606C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2606C4"/>
    <w:rPr>
      <w:sz w:val="20"/>
      <w:szCs w:val="20"/>
    </w:rPr>
  </w:style>
  <w:style w:type="paragraph" w:styleId="Soggettocommento">
    <w:name w:val="annotation subject"/>
    <w:basedOn w:val="Testocommento"/>
    <w:next w:val="Testocommento"/>
    <w:link w:val="SoggettocommentoCarattere"/>
    <w:uiPriority w:val="99"/>
    <w:semiHidden/>
    <w:unhideWhenUsed/>
    <w:rsid w:val="002606C4"/>
    <w:rPr>
      <w:b/>
      <w:bCs/>
    </w:rPr>
  </w:style>
  <w:style w:type="character" w:customStyle="1" w:styleId="SoggettocommentoCarattere">
    <w:name w:val="Soggetto commento Carattere"/>
    <w:basedOn w:val="TestocommentoCarattere"/>
    <w:link w:val="Soggettocommento"/>
    <w:uiPriority w:val="99"/>
    <w:semiHidden/>
    <w:rsid w:val="002606C4"/>
    <w:rPr>
      <w:b/>
      <w:bCs/>
      <w:sz w:val="20"/>
      <w:szCs w:val="20"/>
    </w:rPr>
  </w:style>
  <w:style w:type="paragraph" w:styleId="Revisione">
    <w:name w:val="Revision"/>
    <w:hidden/>
    <w:uiPriority w:val="99"/>
    <w:semiHidden/>
    <w:rsid w:val="00933883"/>
    <w:pPr>
      <w:spacing w:after="0" w:line="240" w:lineRule="auto"/>
    </w:pPr>
  </w:style>
  <w:style w:type="paragraph" w:styleId="Nessunaspaziatura">
    <w:name w:val="No Spacing"/>
    <w:uiPriority w:val="1"/>
    <w:qFormat/>
    <w:rsid w:val="003A25BF"/>
    <w:pPr>
      <w:spacing w:after="0" w:line="240" w:lineRule="auto"/>
    </w:pPr>
  </w:style>
  <w:style w:type="paragraph" w:styleId="Intestazione">
    <w:name w:val="header"/>
    <w:basedOn w:val="Normale"/>
    <w:link w:val="IntestazioneCarattere"/>
    <w:uiPriority w:val="99"/>
    <w:unhideWhenUsed/>
    <w:rsid w:val="00F10E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0E03"/>
  </w:style>
  <w:style w:type="paragraph" w:styleId="Pidipagina">
    <w:name w:val="footer"/>
    <w:basedOn w:val="Normale"/>
    <w:link w:val="PidipaginaCarattere"/>
    <w:uiPriority w:val="99"/>
    <w:unhideWhenUsed/>
    <w:rsid w:val="00F10E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0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1840E-EA02-46B2-819B-9908A234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3213</Words>
  <Characters>18317</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giannisen@tiscali.it</cp:lastModifiedBy>
  <cp:revision>3</cp:revision>
  <dcterms:created xsi:type="dcterms:W3CDTF">2021-06-29T17:48:00Z</dcterms:created>
  <dcterms:modified xsi:type="dcterms:W3CDTF">2021-06-30T06:02:00Z</dcterms:modified>
</cp:coreProperties>
</file>